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75CB" w14:textId="77777777" w:rsidR="004A009C" w:rsidRDefault="00B365B2">
      <w:pPr>
        <w:spacing w:after="260" w:line="258" w:lineRule="auto"/>
        <w:ind w:left="5977"/>
        <w:jc w:val="both"/>
      </w:pPr>
      <w:r>
        <w:rPr>
          <w:rFonts w:ascii="Times New Roman" w:eastAsia="Times New Roman" w:hAnsi="Times New Roman" w:cs="Times New Roman"/>
          <w:sz w:val="16"/>
        </w:rPr>
        <w:t>Załącznik do ustawy z dnia 20 maja 2021 r.</w:t>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o ochronie praw nabywcy lokalu mieszkalnego lub domu jednorodzinnego oraz Deweloperskim Funduszu Gwarancyjnym (poz. 1177) </w:t>
      </w:r>
    </w:p>
    <w:p w14:paraId="2E977209" w14:textId="77777777" w:rsidR="004A009C" w:rsidRDefault="00B365B2">
      <w:pPr>
        <w:spacing w:after="0" w:line="265" w:lineRule="auto"/>
        <w:ind w:left="-5" w:hanging="10"/>
      </w:pPr>
      <w:r>
        <w:rPr>
          <w:rFonts w:ascii="Times New Roman" w:eastAsia="Times New Roman" w:hAnsi="Times New Roman" w:cs="Times New Roman"/>
          <w:b/>
          <w:sz w:val="20"/>
        </w:rPr>
        <w:t xml:space="preserve">Stan na dzień sporządzenia prospektu informacyjnego </w:t>
      </w:r>
    </w:p>
    <w:p w14:paraId="02FE9445" w14:textId="77777777" w:rsidR="004A009C" w:rsidRDefault="00B365B2">
      <w:pPr>
        <w:spacing w:after="4" w:line="248" w:lineRule="auto"/>
        <w:ind w:left="7091" w:right="1416" w:hanging="10"/>
        <w:jc w:val="both"/>
      </w:pPr>
      <w:r>
        <w:rPr>
          <w:rFonts w:ascii="Times New Roman" w:eastAsia="Times New Roman" w:hAnsi="Times New Roman" w:cs="Times New Roman"/>
          <w:sz w:val="18"/>
        </w:rPr>
        <w:t xml:space="preserve">Data  sporządzenia </w:t>
      </w:r>
    </w:p>
    <w:p w14:paraId="7B8ADC1A" w14:textId="79952512" w:rsidR="004A009C" w:rsidRDefault="002A34B6">
      <w:pPr>
        <w:spacing w:after="0"/>
        <w:ind w:left="5007"/>
        <w:jc w:val="center"/>
        <w:rPr>
          <w:rFonts w:ascii="Times New Roman" w:eastAsia="Times New Roman" w:hAnsi="Times New Roman" w:cs="Times New Roman"/>
          <w:sz w:val="18"/>
        </w:rPr>
      </w:pPr>
      <w:r>
        <w:rPr>
          <w:rFonts w:ascii="Times New Roman" w:eastAsia="Times New Roman" w:hAnsi="Times New Roman" w:cs="Times New Roman"/>
          <w:sz w:val="18"/>
        </w:rPr>
        <w:t>P</w:t>
      </w:r>
      <w:r w:rsidR="00B365B2">
        <w:rPr>
          <w:rFonts w:ascii="Times New Roman" w:eastAsia="Times New Roman" w:hAnsi="Times New Roman" w:cs="Times New Roman"/>
          <w:sz w:val="18"/>
        </w:rPr>
        <w:t>rospektu</w:t>
      </w:r>
      <w:r>
        <w:rPr>
          <w:rFonts w:ascii="Times New Roman" w:eastAsia="Times New Roman" w:hAnsi="Times New Roman" w:cs="Times New Roman"/>
          <w:sz w:val="18"/>
        </w:rPr>
        <w:t xml:space="preserve">: </w:t>
      </w:r>
      <w:r w:rsidR="00FF5CC8">
        <w:rPr>
          <w:rFonts w:ascii="Times New Roman" w:eastAsia="Times New Roman" w:hAnsi="Times New Roman" w:cs="Times New Roman"/>
          <w:sz w:val="18"/>
        </w:rPr>
        <w:t>Czerwiec</w:t>
      </w:r>
      <w:r>
        <w:rPr>
          <w:rFonts w:ascii="Times New Roman" w:eastAsia="Times New Roman" w:hAnsi="Times New Roman" w:cs="Times New Roman"/>
          <w:sz w:val="18"/>
        </w:rPr>
        <w:t xml:space="preserve"> 202</w:t>
      </w:r>
      <w:r w:rsidR="00FF5CC8">
        <w:rPr>
          <w:rFonts w:ascii="Times New Roman" w:eastAsia="Times New Roman" w:hAnsi="Times New Roman" w:cs="Times New Roman"/>
          <w:sz w:val="18"/>
        </w:rPr>
        <w:t>5</w:t>
      </w:r>
    </w:p>
    <w:p w14:paraId="78B4C5BE" w14:textId="2A812147" w:rsidR="002A34B6" w:rsidRDefault="002A34B6">
      <w:pPr>
        <w:spacing w:after="0"/>
        <w:ind w:left="5007"/>
        <w:jc w:val="center"/>
        <w:rPr>
          <w:rFonts w:ascii="Times New Roman" w:eastAsia="Times New Roman" w:hAnsi="Times New Roman" w:cs="Times New Roman"/>
          <w:sz w:val="18"/>
        </w:rPr>
      </w:pPr>
      <w:r>
        <w:rPr>
          <w:rFonts w:ascii="Times New Roman" w:eastAsia="Times New Roman" w:hAnsi="Times New Roman" w:cs="Times New Roman"/>
          <w:sz w:val="18"/>
        </w:rPr>
        <w:t>Zadanie inwestycyjne nr 1</w:t>
      </w:r>
    </w:p>
    <w:p w14:paraId="3E74FEA4" w14:textId="6D4AD956" w:rsidR="002A34B6" w:rsidRPr="007D472A" w:rsidRDefault="002A34B6" w:rsidP="007D472A">
      <w:pPr>
        <w:spacing w:after="0"/>
        <w:ind w:left="5007"/>
        <w:jc w:val="center"/>
        <w:rPr>
          <w:rFonts w:ascii="Times New Roman" w:eastAsia="Times New Roman" w:hAnsi="Times New Roman" w:cs="Times New Roman"/>
          <w:sz w:val="18"/>
        </w:rPr>
      </w:pPr>
      <w:r>
        <w:rPr>
          <w:rFonts w:ascii="Times New Roman" w:eastAsia="Times New Roman" w:hAnsi="Times New Roman" w:cs="Times New Roman"/>
          <w:sz w:val="18"/>
        </w:rPr>
        <w:t>(</w:t>
      </w:r>
      <w:r w:rsidR="00FF5CC8">
        <w:rPr>
          <w:rFonts w:ascii="Times New Roman" w:eastAsia="Times New Roman" w:hAnsi="Times New Roman" w:cs="Times New Roman"/>
          <w:sz w:val="18"/>
        </w:rPr>
        <w:t>BM1 + BM2</w:t>
      </w:r>
      <w:r>
        <w:rPr>
          <w:rFonts w:ascii="Times New Roman" w:eastAsia="Times New Roman" w:hAnsi="Times New Roman" w:cs="Times New Roman"/>
          <w:sz w:val="18"/>
        </w:rPr>
        <w:t>)</w:t>
      </w:r>
    </w:p>
    <w:p w14:paraId="192AC4C4" w14:textId="77777777" w:rsidR="004A009C" w:rsidRDefault="00B365B2">
      <w:pPr>
        <w:spacing w:after="142"/>
        <w:ind w:left="45"/>
        <w:jc w:val="center"/>
      </w:pPr>
      <w:r>
        <w:rPr>
          <w:rFonts w:ascii="Times New Roman" w:eastAsia="Times New Roman" w:hAnsi="Times New Roman" w:cs="Times New Roman"/>
          <w:b/>
          <w:sz w:val="18"/>
        </w:rPr>
        <w:t xml:space="preserve"> </w:t>
      </w:r>
    </w:p>
    <w:p w14:paraId="18CB4C3A" w14:textId="77777777" w:rsidR="004A009C" w:rsidRDefault="00B365B2">
      <w:pPr>
        <w:pStyle w:val="Nagwek1"/>
        <w:spacing w:after="125"/>
        <w:ind w:right="1"/>
      </w:pPr>
      <w:r>
        <w:t xml:space="preserve">PROSPEKT INFORMACYJNY </w:t>
      </w:r>
    </w:p>
    <w:p w14:paraId="4A380950" w14:textId="77777777" w:rsidR="004A009C" w:rsidRDefault="00B365B2">
      <w:pPr>
        <w:spacing w:after="165" w:line="265" w:lineRule="auto"/>
        <w:ind w:left="-5" w:hanging="10"/>
      </w:pPr>
      <w:r>
        <w:rPr>
          <w:rFonts w:ascii="Times New Roman" w:eastAsia="Times New Roman" w:hAnsi="Times New Roman" w:cs="Times New Roman"/>
          <w:b/>
          <w:sz w:val="20"/>
        </w:rPr>
        <w:t xml:space="preserve">CZĘŚĆ OGÓLNA </w:t>
      </w:r>
    </w:p>
    <w:p w14:paraId="62CA1D66" w14:textId="77777777" w:rsidR="004A009C" w:rsidRDefault="00B365B2">
      <w:pPr>
        <w:numPr>
          <w:ilvl w:val="0"/>
          <w:numId w:val="1"/>
        </w:numPr>
        <w:spacing w:after="0" w:line="265" w:lineRule="auto"/>
        <w:ind w:hanging="720"/>
      </w:pPr>
      <w:r>
        <w:rPr>
          <w:rFonts w:ascii="Times New Roman" w:eastAsia="Times New Roman" w:hAnsi="Times New Roman" w:cs="Times New Roman"/>
          <w:b/>
          <w:sz w:val="20"/>
        </w:rPr>
        <w:t xml:space="preserve">DANE IDENTYFIKACYJNE I KONTAKTOWE DOTYCZĄCE DEWELOPERA </w:t>
      </w:r>
    </w:p>
    <w:tbl>
      <w:tblPr>
        <w:tblStyle w:val="TableGrid"/>
        <w:tblW w:w="9648" w:type="dxa"/>
        <w:tblInd w:w="109" w:type="dxa"/>
        <w:tblCellMar>
          <w:top w:w="191" w:type="dxa"/>
          <w:left w:w="107" w:type="dxa"/>
          <w:right w:w="63" w:type="dxa"/>
        </w:tblCellMar>
        <w:tblLook w:val="04A0" w:firstRow="1" w:lastRow="0" w:firstColumn="1" w:lastColumn="0" w:noHBand="0" w:noVBand="1"/>
      </w:tblPr>
      <w:tblGrid>
        <w:gridCol w:w="2987"/>
        <w:gridCol w:w="3242"/>
        <w:gridCol w:w="3419"/>
      </w:tblGrid>
      <w:tr w:rsidR="004A009C" w14:paraId="3582BA8A" w14:textId="77777777">
        <w:trPr>
          <w:trHeight w:val="902"/>
        </w:trPr>
        <w:tc>
          <w:tcPr>
            <w:tcW w:w="2987" w:type="dxa"/>
            <w:tcBorders>
              <w:top w:val="single" w:sz="4" w:space="0" w:color="000000"/>
              <w:left w:val="single" w:sz="4" w:space="0" w:color="000000"/>
              <w:bottom w:val="single" w:sz="4" w:space="0" w:color="000000"/>
              <w:right w:val="nil"/>
            </w:tcBorders>
            <w:shd w:val="clear" w:color="auto" w:fill="E0E0E0"/>
            <w:vAlign w:val="center"/>
          </w:tcPr>
          <w:p w14:paraId="7ED6BC00" w14:textId="77777777" w:rsidR="004A009C" w:rsidRDefault="00B365B2">
            <w:pPr>
              <w:spacing w:after="125"/>
            </w:pPr>
            <w:r>
              <w:rPr>
                <w:rFonts w:ascii="Times New Roman" w:eastAsia="Times New Roman" w:hAnsi="Times New Roman" w:cs="Times New Roman"/>
                <w:b/>
                <w:sz w:val="20"/>
              </w:rPr>
              <w:t xml:space="preserve">DANE DEWELOPERA </w:t>
            </w:r>
          </w:p>
          <w:p w14:paraId="0EF74610" w14:textId="77777777" w:rsidR="004A009C" w:rsidRDefault="00B365B2">
            <w:r>
              <w:rPr>
                <w:rFonts w:ascii="Times New Roman" w:eastAsia="Times New Roman" w:hAnsi="Times New Roman" w:cs="Times New Roman"/>
                <w:b/>
                <w:sz w:val="20"/>
              </w:rPr>
              <w:t xml:space="preserve"> </w:t>
            </w:r>
          </w:p>
        </w:tc>
        <w:tc>
          <w:tcPr>
            <w:tcW w:w="6661" w:type="dxa"/>
            <w:gridSpan w:val="2"/>
            <w:tcBorders>
              <w:top w:val="single" w:sz="4" w:space="0" w:color="000000"/>
              <w:left w:val="nil"/>
              <w:bottom w:val="single" w:sz="4" w:space="0" w:color="000000"/>
              <w:right w:val="single" w:sz="4" w:space="0" w:color="000000"/>
            </w:tcBorders>
            <w:shd w:val="clear" w:color="auto" w:fill="E0E0E0"/>
          </w:tcPr>
          <w:p w14:paraId="3F47833E" w14:textId="77777777" w:rsidR="004A009C" w:rsidRDefault="004A009C"/>
        </w:tc>
      </w:tr>
      <w:tr w:rsidR="004A009C" w14:paraId="72AE2F4E" w14:textId="77777777">
        <w:trPr>
          <w:trHeight w:val="989"/>
        </w:trPr>
        <w:tc>
          <w:tcPr>
            <w:tcW w:w="2987" w:type="dxa"/>
            <w:tcBorders>
              <w:top w:val="single" w:sz="4" w:space="0" w:color="000000"/>
              <w:left w:val="single" w:sz="4" w:space="0" w:color="000000"/>
              <w:bottom w:val="single" w:sz="4" w:space="0" w:color="000000"/>
              <w:right w:val="single" w:sz="4" w:space="0" w:color="000000"/>
            </w:tcBorders>
            <w:shd w:val="clear" w:color="auto" w:fill="F3F3F3"/>
          </w:tcPr>
          <w:p w14:paraId="733B11E0" w14:textId="77777777" w:rsidR="004A009C" w:rsidRDefault="00B365B2">
            <w:r>
              <w:rPr>
                <w:rFonts w:ascii="Times New Roman" w:eastAsia="Times New Roman" w:hAnsi="Times New Roman" w:cs="Times New Roman"/>
                <w:sz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D15860D" w14:textId="0881F61B" w:rsidR="004A009C" w:rsidRPr="00C64FE0" w:rsidRDefault="00C64FE0" w:rsidP="000B3B50">
            <w:pPr>
              <w:spacing w:line="360" w:lineRule="auto"/>
            </w:pPr>
            <w:r w:rsidRPr="00C64FE0">
              <w:rPr>
                <w:rFonts w:ascii="Times New Roman" w:eastAsia="Times New Roman" w:hAnsi="Times New Roman" w:cs="Times New Roman"/>
                <w:sz w:val="24"/>
                <w:szCs w:val="24"/>
              </w:rPr>
              <w:t>Śledzik Smolicki V</w:t>
            </w:r>
            <w:r w:rsidR="00043444">
              <w:rPr>
                <w:rFonts w:ascii="Times New Roman" w:eastAsia="Times New Roman" w:hAnsi="Times New Roman" w:cs="Times New Roman"/>
                <w:sz w:val="24"/>
                <w:szCs w:val="24"/>
              </w:rPr>
              <w:t>P</w:t>
            </w:r>
            <w:r w:rsidRPr="00C64FE0">
              <w:rPr>
                <w:rFonts w:ascii="Times New Roman" w:eastAsia="Times New Roman" w:hAnsi="Times New Roman" w:cs="Times New Roman"/>
                <w:sz w:val="24"/>
                <w:szCs w:val="24"/>
              </w:rPr>
              <w:t xml:space="preserve"> Invest Development Spółka Komandytowa</w:t>
            </w:r>
            <w:r w:rsidR="00B365B2" w:rsidRPr="00C64FE0">
              <w:rPr>
                <w:rFonts w:ascii="Times New Roman" w:eastAsia="Times New Roman" w:hAnsi="Times New Roman" w:cs="Times New Roman"/>
                <w:sz w:val="24"/>
                <w:szCs w:val="24"/>
              </w:rPr>
              <w:t xml:space="preserve"> </w:t>
            </w:r>
          </w:p>
          <w:p w14:paraId="297B1A56" w14:textId="352462F9" w:rsidR="00C64FE0" w:rsidRDefault="00C64FE0" w:rsidP="000B3B50">
            <w:pPr>
              <w:spacing w:line="360" w:lineRule="auto"/>
              <w:ind w:left="2"/>
              <w:jc w:val="both"/>
            </w:pPr>
            <w:r w:rsidRPr="00C64FE0">
              <w:rPr>
                <w:sz w:val="24"/>
                <w:szCs w:val="24"/>
              </w:rPr>
              <w:t>KRS: 0000261578</w:t>
            </w:r>
          </w:p>
        </w:tc>
      </w:tr>
      <w:tr w:rsidR="004A009C" w14:paraId="3CC321D7" w14:textId="77777777">
        <w:trPr>
          <w:trHeight w:val="1361"/>
        </w:trPr>
        <w:tc>
          <w:tcPr>
            <w:tcW w:w="2987" w:type="dxa"/>
            <w:tcBorders>
              <w:top w:val="single" w:sz="4" w:space="0" w:color="000000"/>
              <w:left w:val="single" w:sz="4" w:space="0" w:color="000000"/>
              <w:bottom w:val="single" w:sz="4" w:space="0" w:color="000000"/>
              <w:right w:val="single" w:sz="4" w:space="0" w:color="000000"/>
            </w:tcBorders>
            <w:shd w:val="clear" w:color="auto" w:fill="F3F3F3"/>
          </w:tcPr>
          <w:p w14:paraId="1F59A9EA" w14:textId="77777777" w:rsidR="004A009C" w:rsidRDefault="00B365B2">
            <w:r>
              <w:rPr>
                <w:rFonts w:ascii="Times New Roman" w:eastAsia="Times New Roman" w:hAnsi="Times New Roman" w:cs="Times New Roman"/>
                <w:sz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3C91399" w14:textId="6D5EC462" w:rsidR="000B3B50" w:rsidRPr="000B3B50" w:rsidRDefault="00C64FE0" w:rsidP="000B3B50">
            <w:pPr>
              <w:spacing w:after="125"/>
              <w:ind w:left="2"/>
              <w:rPr>
                <w:sz w:val="24"/>
                <w:szCs w:val="24"/>
              </w:rPr>
            </w:pPr>
            <w:r w:rsidRPr="000B3B50">
              <w:rPr>
                <w:rFonts w:ascii="Times New Roman" w:eastAsia="Times New Roman" w:hAnsi="Times New Roman" w:cs="Times New Roman"/>
                <w:sz w:val="24"/>
                <w:szCs w:val="24"/>
              </w:rPr>
              <w:t xml:space="preserve">Ul. Trakt Lubelski </w:t>
            </w:r>
            <w:r w:rsidR="000B3B50" w:rsidRPr="000B3B50">
              <w:rPr>
                <w:rFonts w:ascii="Times New Roman" w:eastAsia="Times New Roman" w:hAnsi="Times New Roman" w:cs="Times New Roman"/>
                <w:sz w:val="24"/>
                <w:szCs w:val="24"/>
              </w:rPr>
              <w:t>144 lok 3</w:t>
            </w:r>
          </w:p>
          <w:p w14:paraId="7C935F7C" w14:textId="4AB4E0D8" w:rsidR="004A009C" w:rsidRPr="000B3B50" w:rsidRDefault="000B3B50">
            <w:pPr>
              <w:ind w:left="2" w:right="49"/>
              <w:jc w:val="both"/>
              <w:rPr>
                <w:sz w:val="24"/>
                <w:szCs w:val="24"/>
              </w:rPr>
            </w:pPr>
            <w:r w:rsidRPr="000B3B50">
              <w:rPr>
                <w:rFonts w:ascii="Times New Roman" w:eastAsia="Times New Roman" w:hAnsi="Times New Roman" w:cs="Times New Roman"/>
                <w:sz w:val="24"/>
                <w:szCs w:val="24"/>
              </w:rPr>
              <w:t>04-790 Warszawa</w:t>
            </w:r>
            <w:r w:rsidR="00B365B2" w:rsidRPr="000B3B50">
              <w:rPr>
                <w:rFonts w:ascii="Times New Roman" w:eastAsia="Times New Roman" w:hAnsi="Times New Roman" w:cs="Times New Roman"/>
                <w:sz w:val="24"/>
                <w:szCs w:val="24"/>
              </w:rPr>
              <w:t xml:space="preserve"> </w:t>
            </w:r>
          </w:p>
        </w:tc>
      </w:tr>
      <w:tr w:rsidR="004A009C" w14:paraId="3614DA62"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F61072" w14:textId="77777777" w:rsidR="004A009C" w:rsidRDefault="00B365B2">
            <w:r>
              <w:rPr>
                <w:rFonts w:ascii="Times New Roman" w:eastAsia="Times New Roman" w:hAnsi="Times New Roman" w:cs="Times New Roman"/>
                <w:sz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0EE1A901" w14:textId="46F4B3F2" w:rsidR="004A009C" w:rsidRPr="000B3B50" w:rsidRDefault="000B3B50">
            <w:pPr>
              <w:ind w:left="2"/>
              <w:rPr>
                <w:sz w:val="24"/>
                <w:szCs w:val="24"/>
              </w:rPr>
            </w:pPr>
            <w:r w:rsidRPr="000B3B50">
              <w:rPr>
                <w:rFonts w:ascii="Times New Roman" w:eastAsia="Times New Roman" w:hAnsi="Times New Roman" w:cs="Times New Roman"/>
                <w:sz w:val="24"/>
                <w:szCs w:val="24"/>
              </w:rPr>
              <w:t>118 186 12 54</w:t>
            </w:r>
            <w:r w:rsidR="00B365B2" w:rsidRPr="000B3B50">
              <w:rPr>
                <w:rFonts w:ascii="Times New Roman" w:eastAsia="Times New Roman" w:hAnsi="Times New Roman" w:cs="Times New Roman"/>
                <w:sz w:val="24"/>
                <w:szCs w:val="24"/>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021D38B3" w14:textId="648F97AF" w:rsidR="004A009C" w:rsidRPr="000B3B50" w:rsidRDefault="000B3B50">
            <w:pPr>
              <w:ind w:left="1"/>
              <w:rPr>
                <w:sz w:val="24"/>
                <w:szCs w:val="24"/>
              </w:rPr>
            </w:pPr>
            <w:r>
              <w:rPr>
                <w:rFonts w:ascii="Times New Roman" w:eastAsia="Times New Roman" w:hAnsi="Times New Roman" w:cs="Times New Roman"/>
                <w:sz w:val="24"/>
                <w:szCs w:val="24"/>
              </w:rPr>
              <w:t>140662764</w:t>
            </w:r>
            <w:r w:rsidR="00B365B2" w:rsidRPr="000B3B50">
              <w:rPr>
                <w:rFonts w:ascii="Times New Roman" w:eastAsia="Times New Roman" w:hAnsi="Times New Roman" w:cs="Times New Roman"/>
                <w:sz w:val="24"/>
                <w:szCs w:val="24"/>
              </w:rPr>
              <w:t xml:space="preserve"> </w:t>
            </w:r>
          </w:p>
        </w:tc>
      </w:tr>
      <w:tr w:rsidR="004A009C" w14:paraId="70CA9943"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0AB3A6" w14:textId="77777777" w:rsidR="004A009C" w:rsidRDefault="00B365B2">
            <w:r>
              <w:rPr>
                <w:rFonts w:ascii="Times New Roman" w:eastAsia="Times New Roman" w:hAnsi="Times New Roman" w:cs="Times New Roman"/>
                <w:sz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A9AD42E" w14:textId="6735F860" w:rsidR="004A009C" w:rsidRPr="000B3B50" w:rsidRDefault="00B365B2">
            <w:pPr>
              <w:ind w:left="2"/>
              <w:rPr>
                <w:sz w:val="24"/>
                <w:szCs w:val="24"/>
              </w:rPr>
            </w:pPr>
            <w:r w:rsidRPr="000B3B50">
              <w:rPr>
                <w:rFonts w:ascii="Times New Roman" w:eastAsia="Times New Roman" w:hAnsi="Times New Roman" w:cs="Times New Roman"/>
                <w:sz w:val="24"/>
                <w:szCs w:val="24"/>
              </w:rPr>
              <w:t xml:space="preserve"> </w:t>
            </w:r>
            <w:r w:rsidR="000B3B50">
              <w:rPr>
                <w:rFonts w:ascii="Times New Roman" w:eastAsia="Times New Roman" w:hAnsi="Times New Roman" w:cs="Times New Roman"/>
                <w:sz w:val="24"/>
                <w:szCs w:val="24"/>
              </w:rPr>
              <w:t xml:space="preserve">509 019 692 </w:t>
            </w:r>
          </w:p>
        </w:tc>
      </w:tr>
      <w:tr w:rsidR="004A009C" w14:paraId="4F1A7080"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669428" w14:textId="77777777" w:rsidR="004A009C" w:rsidRDefault="00B365B2">
            <w:r>
              <w:rPr>
                <w:rFonts w:ascii="Times New Roman" w:eastAsia="Times New Roman" w:hAnsi="Times New Roman" w:cs="Times New Roman"/>
                <w:sz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254E7CE7" w14:textId="17FA8761" w:rsidR="004A009C" w:rsidRPr="000B3B50" w:rsidRDefault="00B365B2">
            <w:pPr>
              <w:ind w:left="2"/>
              <w:rPr>
                <w:sz w:val="24"/>
                <w:szCs w:val="24"/>
              </w:rPr>
            </w:pPr>
            <w:r w:rsidRPr="000B3B50">
              <w:rPr>
                <w:rFonts w:ascii="Times New Roman" w:eastAsia="Times New Roman" w:hAnsi="Times New Roman" w:cs="Times New Roman"/>
                <w:sz w:val="24"/>
                <w:szCs w:val="24"/>
              </w:rPr>
              <w:t xml:space="preserve"> </w:t>
            </w:r>
            <w:hyperlink r:id="rId8" w:history="1">
              <w:r w:rsidR="000B3B50" w:rsidRPr="000D3C60">
                <w:rPr>
                  <w:rStyle w:val="Hipercze"/>
                  <w:rFonts w:ascii="Times New Roman" w:eastAsia="Times New Roman" w:hAnsi="Times New Roman" w:cs="Times New Roman"/>
                  <w:sz w:val="24"/>
                  <w:szCs w:val="24"/>
                </w:rPr>
                <w:t>biuro@grupavp.pl</w:t>
              </w:r>
            </w:hyperlink>
            <w:r w:rsidR="000B3B50">
              <w:rPr>
                <w:rFonts w:ascii="Times New Roman" w:eastAsia="Times New Roman" w:hAnsi="Times New Roman" w:cs="Times New Roman"/>
                <w:sz w:val="24"/>
                <w:szCs w:val="24"/>
              </w:rPr>
              <w:t xml:space="preserve">, </w:t>
            </w:r>
            <w:hyperlink r:id="rId9" w:history="1">
              <w:r w:rsidR="000B3B50" w:rsidRPr="000D3C60">
                <w:rPr>
                  <w:rStyle w:val="Hipercze"/>
                  <w:rFonts w:ascii="Times New Roman" w:eastAsia="Times New Roman" w:hAnsi="Times New Roman" w:cs="Times New Roman"/>
                  <w:sz w:val="24"/>
                  <w:szCs w:val="24"/>
                </w:rPr>
                <w:t>vp@grupavp.pl</w:t>
              </w:r>
            </w:hyperlink>
            <w:r w:rsidR="000B3B50">
              <w:rPr>
                <w:rFonts w:ascii="Times New Roman" w:eastAsia="Times New Roman" w:hAnsi="Times New Roman" w:cs="Times New Roman"/>
                <w:sz w:val="24"/>
                <w:szCs w:val="24"/>
              </w:rPr>
              <w:t xml:space="preserve"> </w:t>
            </w:r>
          </w:p>
        </w:tc>
      </w:tr>
      <w:tr w:rsidR="004A009C" w14:paraId="79EADA46" w14:textId="77777777">
        <w:trPr>
          <w:trHeight w:val="528"/>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5ABC63" w14:textId="77777777" w:rsidR="004A009C" w:rsidRDefault="00B365B2">
            <w:r>
              <w:rPr>
                <w:rFonts w:ascii="Times New Roman" w:eastAsia="Times New Roman" w:hAnsi="Times New Roman" w:cs="Times New Roman"/>
                <w:sz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67F9EC4B" w14:textId="77777777" w:rsidR="004A009C" w:rsidRPr="000B3B50" w:rsidRDefault="00B365B2">
            <w:pPr>
              <w:ind w:left="2"/>
              <w:rPr>
                <w:sz w:val="24"/>
                <w:szCs w:val="24"/>
              </w:rPr>
            </w:pPr>
            <w:r w:rsidRPr="000B3B50">
              <w:rPr>
                <w:rFonts w:ascii="Times New Roman" w:eastAsia="Times New Roman" w:hAnsi="Times New Roman" w:cs="Times New Roman"/>
                <w:sz w:val="24"/>
                <w:szCs w:val="24"/>
              </w:rPr>
              <w:t xml:space="preserve"> </w:t>
            </w:r>
          </w:p>
        </w:tc>
      </w:tr>
      <w:tr w:rsidR="004A009C" w14:paraId="6C725E3C" w14:textId="77777777">
        <w:trPr>
          <w:trHeight w:val="757"/>
        </w:trPr>
        <w:tc>
          <w:tcPr>
            <w:tcW w:w="29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C4B840" w14:textId="77777777" w:rsidR="004A009C" w:rsidRDefault="00B365B2">
            <w:r>
              <w:rPr>
                <w:rFonts w:ascii="Times New Roman" w:eastAsia="Times New Roman" w:hAnsi="Times New Roman" w:cs="Times New Roman"/>
                <w:sz w:val="20"/>
              </w:rPr>
              <w:t xml:space="preserve">Adres strony 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p w14:paraId="32DD3CCD" w14:textId="44F8F57F" w:rsidR="004A009C" w:rsidRPr="000B3B50" w:rsidRDefault="00B365B2">
            <w:pPr>
              <w:ind w:left="2"/>
              <w:rPr>
                <w:sz w:val="24"/>
                <w:szCs w:val="24"/>
              </w:rPr>
            </w:pPr>
            <w:r w:rsidRPr="000B3B50">
              <w:rPr>
                <w:rFonts w:ascii="Times New Roman" w:eastAsia="Times New Roman" w:hAnsi="Times New Roman" w:cs="Times New Roman"/>
                <w:sz w:val="24"/>
                <w:szCs w:val="24"/>
              </w:rPr>
              <w:t xml:space="preserve"> </w:t>
            </w:r>
            <w:hyperlink r:id="rId10" w:history="1">
              <w:r w:rsidR="000B3B50" w:rsidRPr="000D3C60">
                <w:rPr>
                  <w:rStyle w:val="Hipercze"/>
                  <w:rFonts w:ascii="Times New Roman" w:eastAsia="Times New Roman" w:hAnsi="Times New Roman" w:cs="Times New Roman"/>
                  <w:sz w:val="24"/>
                  <w:szCs w:val="24"/>
                </w:rPr>
                <w:t>www.zielonywawer.pl</w:t>
              </w:r>
            </w:hyperlink>
            <w:r w:rsidR="000B3B50">
              <w:rPr>
                <w:rFonts w:ascii="Times New Roman" w:eastAsia="Times New Roman" w:hAnsi="Times New Roman" w:cs="Times New Roman"/>
                <w:sz w:val="24"/>
                <w:szCs w:val="24"/>
              </w:rPr>
              <w:t xml:space="preserve"> </w:t>
            </w:r>
          </w:p>
        </w:tc>
      </w:tr>
    </w:tbl>
    <w:p w14:paraId="7A9614DC" w14:textId="77777777" w:rsidR="004A009C" w:rsidRDefault="00B365B2">
      <w:pPr>
        <w:numPr>
          <w:ilvl w:val="0"/>
          <w:numId w:val="1"/>
        </w:numPr>
        <w:spacing w:after="313" w:line="265" w:lineRule="auto"/>
        <w:ind w:hanging="720"/>
      </w:pPr>
      <w:r>
        <w:rPr>
          <w:rFonts w:ascii="Times New Roman" w:eastAsia="Times New Roman" w:hAnsi="Times New Roman" w:cs="Times New Roman"/>
          <w:b/>
          <w:sz w:val="20"/>
        </w:rPr>
        <w:t xml:space="preserve">DOŚWIADCZENIE DEWELOPERA </w:t>
      </w:r>
    </w:p>
    <w:p w14:paraId="6AAB3FDE" w14:textId="77777777" w:rsidR="004A009C" w:rsidRDefault="00B365B2">
      <w:pPr>
        <w:pBdr>
          <w:top w:val="single" w:sz="4" w:space="0" w:color="000000"/>
          <w:left w:val="single" w:sz="4" w:space="0" w:color="000000"/>
          <w:bottom w:val="single" w:sz="4" w:space="0" w:color="000000"/>
          <w:right w:val="single" w:sz="4" w:space="0" w:color="000000"/>
        </w:pBdr>
        <w:shd w:val="clear" w:color="auto" w:fill="E0E0E0"/>
        <w:spacing w:after="327"/>
        <w:ind w:left="216"/>
      </w:pPr>
      <w:r>
        <w:rPr>
          <w:rFonts w:ascii="Times New Roman" w:eastAsia="Times New Roman" w:hAnsi="Times New Roman" w:cs="Times New Roman"/>
          <w:b/>
          <w:sz w:val="20"/>
        </w:rPr>
        <w:t xml:space="preserve">HISTORIA I UDOKUMENTOWANE DOŚWIADCZENIE DEWELOPERA </w:t>
      </w:r>
    </w:p>
    <w:p w14:paraId="46BE22E8" w14:textId="77777777" w:rsidR="004A009C" w:rsidRDefault="00B365B2">
      <w:pPr>
        <w:spacing w:after="0"/>
      </w:pPr>
      <w:r>
        <w:rPr>
          <w:rFonts w:ascii="Times New Roman" w:eastAsia="Times New Roman" w:hAnsi="Times New Roman" w:cs="Times New Roman"/>
          <w:sz w:val="20"/>
        </w:rPr>
        <w:t xml:space="preserve"> </w:t>
      </w:r>
    </w:p>
    <w:tbl>
      <w:tblPr>
        <w:tblStyle w:val="TableGrid"/>
        <w:tblW w:w="9648" w:type="dxa"/>
        <w:tblInd w:w="109" w:type="dxa"/>
        <w:tblCellMar>
          <w:top w:w="191" w:type="dxa"/>
          <w:left w:w="107" w:type="dxa"/>
          <w:right w:w="57" w:type="dxa"/>
        </w:tblCellMar>
        <w:tblLook w:val="04A0" w:firstRow="1" w:lastRow="0" w:firstColumn="1" w:lastColumn="0" w:noHBand="0" w:noVBand="1"/>
      </w:tblPr>
      <w:tblGrid>
        <w:gridCol w:w="2811"/>
        <w:gridCol w:w="6837"/>
      </w:tblGrid>
      <w:tr w:rsidR="004A009C" w14:paraId="540C7C41" w14:textId="77777777">
        <w:trPr>
          <w:trHeight w:val="757"/>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074DF068" w14:textId="77777777" w:rsidR="004A009C" w:rsidRDefault="00B365B2">
            <w:pPr>
              <w:jc w:val="both"/>
            </w:pPr>
            <w:r>
              <w:rPr>
                <w:rFonts w:ascii="Times New Roman" w:eastAsia="Times New Roman" w:hAnsi="Times New Roman" w:cs="Times New Roman"/>
                <w:b/>
                <w:sz w:val="20"/>
              </w:rPr>
              <w:t xml:space="preserve">PRZYKŁAD UKOŃCZONEGO PRZEDSIĘWZIĘCIA DEWELOPERSKIEGO (należy wskazać, o ile istnieją, trzy ukończone przedsięwzięcia deweloperskie, w tym ostatnie) </w:t>
            </w:r>
          </w:p>
        </w:tc>
      </w:tr>
      <w:tr w:rsidR="004A009C" w14:paraId="4679B213"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07A579" w14:textId="77777777" w:rsidR="004A009C" w:rsidRDefault="00B365B2">
            <w:r>
              <w:rPr>
                <w:rFonts w:ascii="Times New Roman" w:eastAsia="Times New Roman" w:hAnsi="Times New Roman" w:cs="Times New Roman"/>
                <w:sz w:val="20"/>
              </w:rPr>
              <w:lastRenderedPageBreak/>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06640753" w14:textId="2C397228"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D666BF" w:rsidRPr="00D666BF">
              <w:rPr>
                <w:rFonts w:ascii="Times New Roman" w:eastAsia="Times New Roman" w:hAnsi="Times New Roman" w:cs="Times New Roman"/>
                <w:sz w:val="24"/>
                <w:szCs w:val="24"/>
              </w:rPr>
              <w:t>Mrągowska 7,</w:t>
            </w:r>
            <w:r w:rsidR="002A34B6">
              <w:rPr>
                <w:rFonts w:ascii="Times New Roman" w:eastAsia="Times New Roman" w:hAnsi="Times New Roman" w:cs="Times New Roman"/>
                <w:sz w:val="24"/>
                <w:szCs w:val="24"/>
              </w:rPr>
              <w:t xml:space="preserve"> </w:t>
            </w:r>
            <w:r w:rsidR="00D666BF" w:rsidRPr="00D666BF">
              <w:rPr>
                <w:rFonts w:ascii="Times New Roman" w:eastAsia="Times New Roman" w:hAnsi="Times New Roman" w:cs="Times New Roman"/>
                <w:sz w:val="24"/>
                <w:szCs w:val="24"/>
              </w:rPr>
              <w:t>04-988 Warszawa</w:t>
            </w:r>
          </w:p>
        </w:tc>
      </w:tr>
      <w:tr w:rsidR="004A009C" w14:paraId="5964D612"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B16236" w14:textId="77777777" w:rsidR="004A009C" w:rsidRDefault="00B365B2">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1118D41" w14:textId="4031847B"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D666BF">
              <w:rPr>
                <w:rFonts w:ascii="Times New Roman" w:eastAsia="Times New Roman" w:hAnsi="Times New Roman" w:cs="Times New Roman"/>
                <w:sz w:val="24"/>
                <w:szCs w:val="24"/>
              </w:rPr>
              <w:t>10.06.2016</w:t>
            </w:r>
          </w:p>
        </w:tc>
      </w:tr>
      <w:tr w:rsidR="004A009C" w14:paraId="0EF76D14" w14:textId="77777777">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755A1E" w14:textId="77777777" w:rsidR="004A009C" w:rsidRDefault="00B365B2">
            <w:pPr>
              <w:ind w:right="259"/>
              <w:jc w:val="both"/>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0D0EE1C1" w14:textId="4B4425BE"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2A34B6">
              <w:rPr>
                <w:rFonts w:ascii="Times New Roman" w:eastAsia="Times New Roman" w:hAnsi="Times New Roman" w:cs="Times New Roman"/>
                <w:sz w:val="24"/>
                <w:szCs w:val="24"/>
              </w:rPr>
              <w:t>01.08.2017</w:t>
            </w:r>
          </w:p>
        </w:tc>
      </w:tr>
      <w:tr w:rsidR="004A009C" w14:paraId="1B61EF29" w14:textId="77777777">
        <w:trPr>
          <w:trHeight w:val="902"/>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45204213" w14:textId="77777777" w:rsidR="004A009C" w:rsidRDefault="00B365B2">
            <w:pPr>
              <w:spacing w:after="125"/>
            </w:pPr>
            <w:r>
              <w:rPr>
                <w:rFonts w:ascii="Times New Roman" w:eastAsia="Times New Roman" w:hAnsi="Times New Roman" w:cs="Times New Roman"/>
                <w:b/>
                <w:sz w:val="20"/>
              </w:rPr>
              <w:t xml:space="preserve">PRZYKŁAD INNEGO UKOŃCZONEGO PRZEDSIĘWZIĘCIA DEWELOPERSKIEGO </w:t>
            </w:r>
          </w:p>
          <w:p w14:paraId="0193BA62" w14:textId="77777777" w:rsidR="004A009C" w:rsidRDefault="00B365B2">
            <w:r>
              <w:rPr>
                <w:rFonts w:ascii="Times New Roman" w:eastAsia="Times New Roman" w:hAnsi="Times New Roman" w:cs="Times New Roman"/>
                <w:b/>
                <w:sz w:val="20"/>
              </w:rPr>
              <w:t xml:space="preserve"> </w:t>
            </w:r>
          </w:p>
        </w:tc>
      </w:tr>
      <w:tr w:rsidR="004A009C" w14:paraId="5337211F"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20BC28" w14:textId="77777777" w:rsidR="004A009C" w:rsidRDefault="00B365B2">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DDF1BB7" w14:textId="04A16A6B"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D666BF">
              <w:rPr>
                <w:rFonts w:ascii="Times New Roman" w:eastAsia="Times New Roman" w:hAnsi="Times New Roman" w:cs="Times New Roman"/>
                <w:sz w:val="24"/>
                <w:szCs w:val="24"/>
              </w:rPr>
              <w:t>Uszatki 1, 04-988 Warszawa</w:t>
            </w:r>
          </w:p>
        </w:tc>
      </w:tr>
      <w:tr w:rsidR="004A009C" w14:paraId="68154315"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FE7822" w14:textId="77777777" w:rsidR="004A009C" w:rsidRDefault="00B365B2">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315369F9" w14:textId="337E375F"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D666BF">
              <w:rPr>
                <w:rFonts w:ascii="Times New Roman" w:eastAsia="Times New Roman" w:hAnsi="Times New Roman" w:cs="Times New Roman"/>
                <w:sz w:val="24"/>
                <w:szCs w:val="24"/>
              </w:rPr>
              <w:t>09.03.2018</w:t>
            </w:r>
          </w:p>
        </w:tc>
      </w:tr>
      <w:tr w:rsidR="004A009C" w14:paraId="56981708" w14:textId="77777777">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BB5D5D" w14:textId="77777777" w:rsidR="004A009C" w:rsidRDefault="00B365B2">
            <w:pPr>
              <w:ind w:right="55"/>
              <w:jc w:val="both"/>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38F97F5E" w14:textId="0652CD26"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2A34B6">
              <w:rPr>
                <w:rFonts w:ascii="Times New Roman" w:eastAsia="Times New Roman" w:hAnsi="Times New Roman" w:cs="Times New Roman"/>
                <w:sz w:val="24"/>
                <w:szCs w:val="24"/>
              </w:rPr>
              <w:t>03.01.2020</w:t>
            </w:r>
          </w:p>
        </w:tc>
      </w:tr>
      <w:tr w:rsidR="004A009C" w14:paraId="0A9B2D7F" w14:textId="77777777">
        <w:trPr>
          <w:trHeight w:val="894"/>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23B87E9A" w14:textId="77777777" w:rsidR="004A009C" w:rsidRDefault="00B365B2">
            <w:pPr>
              <w:spacing w:after="262"/>
            </w:pPr>
            <w:r>
              <w:rPr>
                <w:rFonts w:ascii="Times New Roman" w:eastAsia="Times New Roman" w:hAnsi="Times New Roman" w:cs="Times New Roman"/>
                <w:b/>
                <w:sz w:val="20"/>
              </w:rPr>
              <w:t xml:space="preserve">PRZYKŁAD OSTATNIEGO UKOŃCZONEGO PRZEDSIĘWZIĘCIA DEWELOPERSKIEGO </w:t>
            </w:r>
          </w:p>
          <w:p w14:paraId="77DD949C" w14:textId="77777777" w:rsidR="004A009C" w:rsidRDefault="00B365B2">
            <w:r>
              <w:rPr>
                <w:rFonts w:ascii="Times New Roman" w:eastAsia="Times New Roman" w:hAnsi="Times New Roman" w:cs="Times New Roman"/>
                <w:b/>
                <w:sz w:val="20"/>
              </w:rPr>
              <w:t xml:space="preserve"> </w:t>
            </w:r>
          </w:p>
        </w:tc>
      </w:tr>
      <w:tr w:rsidR="004A009C" w14:paraId="7C78CF39" w14:textId="77777777">
        <w:trPr>
          <w:trHeight w:val="529"/>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2D0852" w14:textId="77777777" w:rsidR="004A009C" w:rsidRDefault="00B365B2">
            <w:r>
              <w:rPr>
                <w:rFonts w:ascii="Times New Roman" w:eastAsia="Times New Roman" w:hAnsi="Times New Roman" w:cs="Times New Roman"/>
                <w:sz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20A531EB" w14:textId="6EA90D17"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D666BF" w:rsidRPr="00D666BF">
              <w:rPr>
                <w:rFonts w:ascii="Times New Roman" w:eastAsia="Times New Roman" w:hAnsi="Times New Roman" w:cs="Times New Roman"/>
                <w:sz w:val="24"/>
                <w:szCs w:val="24"/>
              </w:rPr>
              <w:t>Trakt Lubelski 144</w:t>
            </w:r>
            <w:r w:rsidR="00D666BF">
              <w:rPr>
                <w:rFonts w:ascii="Times New Roman" w:eastAsia="Times New Roman" w:hAnsi="Times New Roman" w:cs="Times New Roman"/>
                <w:sz w:val="24"/>
                <w:szCs w:val="24"/>
              </w:rPr>
              <w:t>, 04-790 Warszawa</w:t>
            </w:r>
          </w:p>
        </w:tc>
      </w:tr>
      <w:tr w:rsidR="004A009C" w14:paraId="4D0CD9D8"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B2A928" w14:textId="77777777" w:rsidR="004A009C" w:rsidRDefault="00B365B2">
            <w:r>
              <w:rPr>
                <w:rFonts w:ascii="Times New Roman" w:eastAsia="Times New Roman" w:hAnsi="Times New Roman" w:cs="Times New Roman"/>
                <w:sz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7E102949" w14:textId="415E6CC0"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D666BF">
              <w:rPr>
                <w:rFonts w:ascii="Times New Roman" w:eastAsia="Times New Roman" w:hAnsi="Times New Roman" w:cs="Times New Roman"/>
                <w:sz w:val="24"/>
                <w:szCs w:val="24"/>
              </w:rPr>
              <w:t>28.11.2018</w:t>
            </w:r>
          </w:p>
        </w:tc>
      </w:tr>
      <w:tr w:rsidR="004A009C" w14:paraId="43D2FF26" w14:textId="77777777">
        <w:trPr>
          <w:trHeight w:val="756"/>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0E04EC" w14:textId="77777777" w:rsidR="004A009C" w:rsidRDefault="00B365B2">
            <w:pPr>
              <w:ind w:right="55"/>
              <w:jc w:val="both"/>
            </w:pPr>
            <w:r>
              <w:rPr>
                <w:rFonts w:ascii="Times New Roman" w:eastAsia="Times New Roman" w:hAnsi="Times New Roman" w:cs="Times New Roman"/>
                <w:sz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11DF6FDC" w14:textId="494888D2" w:rsidR="004A009C" w:rsidRPr="00D666BF" w:rsidRDefault="00B365B2">
            <w:pPr>
              <w:ind w:left="5"/>
              <w:rPr>
                <w:sz w:val="24"/>
                <w:szCs w:val="24"/>
              </w:rPr>
            </w:pPr>
            <w:r w:rsidRPr="00D666BF">
              <w:rPr>
                <w:rFonts w:ascii="Times New Roman" w:eastAsia="Times New Roman" w:hAnsi="Times New Roman" w:cs="Times New Roman"/>
                <w:sz w:val="24"/>
                <w:szCs w:val="24"/>
              </w:rPr>
              <w:t xml:space="preserve"> </w:t>
            </w:r>
            <w:r w:rsidR="002A34B6">
              <w:rPr>
                <w:rFonts w:ascii="Times New Roman" w:eastAsia="Times New Roman" w:hAnsi="Times New Roman" w:cs="Times New Roman"/>
                <w:sz w:val="24"/>
                <w:szCs w:val="24"/>
              </w:rPr>
              <w:t>21.07.2021</w:t>
            </w:r>
          </w:p>
        </w:tc>
      </w:tr>
    </w:tbl>
    <w:p w14:paraId="10932AF0" w14:textId="77777777" w:rsidR="004A009C" w:rsidRDefault="00B365B2">
      <w:pPr>
        <w:spacing w:after="0"/>
      </w:pPr>
      <w:r>
        <w:rPr>
          <w:rFonts w:ascii="Times New Roman" w:eastAsia="Times New Roman" w:hAnsi="Times New Roman" w:cs="Times New Roman"/>
          <w:b/>
          <w:sz w:val="16"/>
        </w:rPr>
        <w:t xml:space="preserve"> </w:t>
      </w:r>
    </w:p>
    <w:tbl>
      <w:tblPr>
        <w:tblStyle w:val="TableGrid"/>
        <w:tblW w:w="9649" w:type="dxa"/>
        <w:tblInd w:w="109" w:type="dxa"/>
        <w:tblCellMar>
          <w:top w:w="189" w:type="dxa"/>
          <w:left w:w="107" w:type="dxa"/>
          <w:right w:w="115" w:type="dxa"/>
        </w:tblCellMar>
        <w:tblLook w:val="04A0" w:firstRow="1" w:lastRow="0" w:firstColumn="1" w:lastColumn="0" w:noHBand="0" w:noVBand="1"/>
      </w:tblPr>
      <w:tblGrid>
        <w:gridCol w:w="2807"/>
        <w:gridCol w:w="6842"/>
      </w:tblGrid>
      <w:tr w:rsidR="004A009C" w14:paraId="391855EB" w14:textId="77777777">
        <w:trPr>
          <w:trHeight w:val="1217"/>
        </w:trPr>
        <w:tc>
          <w:tcPr>
            <w:tcW w:w="28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E2F7F9" w14:textId="77777777" w:rsidR="004A009C" w:rsidRDefault="00B365B2">
            <w:pPr>
              <w:ind w:right="200"/>
            </w:pPr>
            <w:r>
              <w:rPr>
                <w:rFonts w:ascii="Times New Roman" w:eastAsia="Times New Roman" w:hAnsi="Times New Roman" w:cs="Times New Roman"/>
                <w:sz w:val="20"/>
              </w:rPr>
              <w:t>Czy przeciwko deweloperowi prowadzono lub prowadzi się postępowania egzekucyjne na kwotę powyżej 100 000 zł</w:t>
            </w:r>
            <w:r>
              <w:rPr>
                <w:rFonts w:ascii="Times New Roman" w:eastAsia="Times New Roman" w:hAnsi="Times New Roman" w:cs="Times New Roman"/>
                <w:b/>
                <w:sz w:val="20"/>
              </w:rPr>
              <w:t xml:space="preserve"> </w:t>
            </w:r>
          </w:p>
        </w:tc>
        <w:tc>
          <w:tcPr>
            <w:tcW w:w="6842" w:type="dxa"/>
            <w:tcBorders>
              <w:top w:val="single" w:sz="4" w:space="0" w:color="000000"/>
              <w:left w:val="single" w:sz="4" w:space="0" w:color="000000"/>
              <w:bottom w:val="single" w:sz="4" w:space="0" w:color="000000"/>
              <w:right w:val="single" w:sz="4" w:space="0" w:color="000000"/>
            </w:tcBorders>
          </w:tcPr>
          <w:p w14:paraId="365013E7" w14:textId="62E29AF4" w:rsidR="004A009C" w:rsidRPr="00D666BF" w:rsidRDefault="00B365B2">
            <w:pPr>
              <w:ind w:left="2"/>
              <w:rPr>
                <w:bCs/>
                <w:sz w:val="24"/>
                <w:szCs w:val="24"/>
              </w:rPr>
            </w:pPr>
            <w:r>
              <w:rPr>
                <w:rFonts w:ascii="Times New Roman" w:eastAsia="Times New Roman" w:hAnsi="Times New Roman" w:cs="Times New Roman"/>
                <w:b/>
                <w:sz w:val="20"/>
              </w:rPr>
              <w:t xml:space="preserve"> </w:t>
            </w:r>
            <w:r w:rsidR="00D666BF">
              <w:rPr>
                <w:rFonts w:ascii="Times New Roman" w:eastAsia="Times New Roman" w:hAnsi="Times New Roman" w:cs="Times New Roman"/>
                <w:bCs/>
                <w:sz w:val="24"/>
                <w:szCs w:val="24"/>
              </w:rPr>
              <w:t>Nie</w:t>
            </w:r>
          </w:p>
        </w:tc>
      </w:tr>
    </w:tbl>
    <w:p w14:paraId="75A4D968" w14:textId="77777777" w:rsidR="004A009C" w:rsidRDefault="00B365B2">
      <w:pPr>
        <w:spacing w:after="126"/>
      </w:pPr>
      <w:r>
        <w:rPr>
          <w:rFonts w:ascii="Times New Roman" w:eastAsia="Times New Roman" w:hAnsi="Times New Roman" w:cs="Times New Roman"/>
          <w:b/>
          <w:sz w:val="16"/>
        </w:rPr>
        <w:t xml:space="preserve"> </w:t>
      </w:r>
    </w:p>
    <w:p w14:paraId="50355E18" w14:textId="77777777" w:rsidR="004A009C" w:rsidRDefault="00B365B2">
      <w:pPr>
        <w:spacing w:after="110"/>
      </w:pPr>
      <w:r>
        <w:rPr>
          <w:rFonts w:ascii="Times New Roman" w:eastAsia="Times New Roman" w:hAnsi="Times New Roman" w:cs="Times New Roman"/>
          <w:b/>
          <w:sz w:val="16"/>
        </w:rPr>
        <w:t xml:space="preserve"> </w:t>
      </w:r>
    </w:p>
    <w:p w14:paraId="2A67AD8A" w14:textId="77777777" w:rsidR="004A009C" w:rsidRDefault="00B365B2">
      <w:pPr>
        <w:numPr>
          <w:ilvl w:val="0"/>
          <w:numId w:val="1"/>
        </w:numPr>
        <w:spacing w:after="0" w:line="265" w:lineRule="auto"/>
        <w:ind w:hanging="720"/>
      </w:pPr>
      <w:r>
        <w:rPr>
          <w:rFonts w:ascii="Times New Roman" w:eastAsia="Times New Roman" w:hAnsi="Times New Roman" w:cs="Times New Roman"/>
          <w:b/>
          <w:sz w:val="20"/>
        </w:rPr>
        <w:t xml:space="preserve">INFORMACJE DOTYCZĄCE NIERUCHOMOŚCI I PRZEDSIĘWZIĘCIA DEWELOPERSKIEGO </w:t>
      </w:r>
    </w:p>
    <w:tbl>
      <w:tblPr>
        <w:tblStyle w:val="TableGrid"/>
        <w:tblW w:w="9648" w:type="dxa"/>
        <w:tblInd w:w="109" w:type="dxa"/>
        <w:tblCellMar>
          <w:top w:w="182" w:type="dxa"/>
          <w:left w:w="107" w:type="dxa"/>
          <w:right w:w="57" w:type="dxa"/>
        </w:tblCellMar>
        <w:tblLook w:val="04A0" w:firstRow="1" w:lastRow="0" w:firstColumn="1" w:lastColumn="0" w:noHBand="0" w:noVBand="1"/>
      </w:tblPr>
      <w:tblGrid>
        <w:gridCol w:w="2809"/>
        <w:gridCol w:w="3419"/>
        <w:gridCol w:w="3420"/>
      </w:tblGrid>
      <w:tr w:rsidR="004A009C" w14:paraId="26B7A72B" w14:textId="77777777">
        <w:trPr>
          <w:trHeight w:val="900"/>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66795368" w14:textId="77777777" w:rsidR="004A009C" w:rsidRDefault="00B365B2">
            <w:pPr>
              <w:spacing w:after="123"/>
            </w:pPr>
            <w:r>
              <w:rPr>
                <w:rFonts w:ascii="Times New Roman" w:eastAsia="Times New Roman" w:hAnsi="Times New Roman" w:cs="Times New Roman"/>
                <w:b/>
                <w:sz w:val="20"/>
              </w:rPr>
              <w:t xml:space="preserve">INFORMACJE DOTYCZĄCE GRUNTU I ZAGOSPODAROWANIA PRZESTRZENNEGO TERENU </w:t>
            </w:r>
          </w:p>
          <w:p w14:paraId="5781B989" w14:textId="77777777" w:rsidR="004A009C" w:rsidRDefault="00B365B2">
            <w:r>
              <w:rPr>
                <w:rFonts w:ascii="Times New Roman" w:eastAsia="Times New Roman" w:hAnsi="Times New Roman" w:cs="Times New Roman"/>
                <w:b/>
                <w:sz w:val="20"/>
              </w:rPr>
              <w:t xml:space="preserve"> </w:t>
            </w:r>
          </w:p>
        </w:tc>
      </w:tr>
      <w:tr w:rsidR="004A009C" w14:paraId="50E2499C" w14:textId="77777777">
        <w:trPr>
          <w:trHeight w:val="989"/>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94F3C3" w14:textId="77777777" w:rsidR="004A009C" w:rsidRDefault="00B365B2">
            <w:r>
              <w:rPr>
                <w:rFonts w:ascii="Times New Roman" w:eastAsia="Times New Roman" w:hAnsi="Times New Roman" w:cs="Times New Roman"/>
                <w:sz w:val="20"/>
              </w:rPr>
              <w:lastRenderedPageBreak/>
              <w:t>Adres, numer działki ewidencyjnej i numer obrębu ewidencyjnego</w:t>
            </w:r>
            <w:r>
              <w:rPr>
                <w:rFonts w:ascii="Times New Roman" w:eastAsia="Times New Roman" w:hAnsi="Times New Roman" w:cs="Times New Roman"/>
                <w:sz w:val="20"/>
                <w:vertAlign w:val="superscript"/>
              </w:rPr>
              <w:footnoteReference w:id="1"/>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6839" w:type="dxa"/>
            <w:gridSpan w:val="2"/>
            <w:tcBorders>
              <w:top w:val="single" w:sz="4" w:space="0" w:color="000000"/>
              <w:left w:val="single" w:sz="4" w:space="0" w:color="000000"/>
              <w:bottom w:val="single" w:sz="4" w:space="0" w:color="000000"/>
              <w:right w:val="single" w:sz="4" w:space="0" w:color="000000"/>
            </w:tcBorders>
          </w:tcPr>
          <w:p w14:paraId="63586331" w14:textId="6FF17BAB" w:rsidR="004A009C" w:rsidRPr="00D666BF" w:rsidRDefault="006A3997">
            <w:pPr>
              <w:ind w:left="2"/>
              <w:rPr>
                <w:rFonts w:ascii="Times New Roman" w:hAnsi="Times New Roman" w:cs="Times New Roman"/>
                <w:sz w:val="24"/>
                <w:szCs w:val="24"/>
              </w:rPr>
            </w:pPr>
            <w:r>
              <w:rPr>
                <w:rFonts w:ascii="Times New Roman" w:hAnsi="Times New Roman" w:cs="Times New Roman"/>
                <w:sz w:val="24"/>
                <w:szCs w:val="24"/>
              </w:rPr>
              <w:t>Marki, ul. Wenecka/ ul. Wczasowa 3, dz. 19/6 obręb 01-07</w:t>
            </w:r>
          </w:p>
        </w:tc>
      </w:tr>
      <w:tr w:rsidR="004A009C" w14:paraId="74AE0005" w14:textId="77777777">
        <w:trPr>
          <w:trHeight w:val="528"/>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2EB459" w14:textId="77777777" w:rsidR="004A009C" w:rsidRDefault="00B365B2">
            <w:r>
              <w:rPr>
                <w:rFonts w:ascii="Times New Roman" w:eastAsia="Times New Roman" w:hAnsi="Times New Roman" w:cs="Times New Roman"/>
                <w:sz w:val="20"/>
              </w:rPr>
              <w:t xml:space="preserve">Numer księgi wieczystej  </w:t>
            </w:r>
          </w:p>
        </w:tc>
        <w:tc>
          <w:tcPr>
            <w:tcW w:w="6839" w:type="dxa"/>
            <w:gridSpan w:val="2"/>
            <w:tcBorders>
              <w:top w:val="single" w:sz="4" w:space="0" w:color="000000"/>
              <w:left w:val="single" w:sz="4" w:space="0" w:color="000000"/>
              <w:bottom w:val="single" w:sz="4" w:space="0" w:color="000000"/>
              <w:right w:val="single" w:sz="4" w:space="0" w:color="000000"/>
            </w:tcBorders>
            <w:vAlign w:val="center"/>
          </w:tcPr>
          <w:p w14:paraId="5EC98988" w14:textId="05287354" w:rsidR="00ED2888" w:rsidRPr="00D666BF" w:rsidRDefault="006A3997" w:rsidP="002A34B6">
            <w:pPr>
              <w:rPr>
                <w:rFonts w:ascii="Times New Roman" w:hAnsi="Times New Roman" w:cs="Times New Roman"/>
                <w:sz w:val="24"/>
                <w:szCs w:val="24"/>
              </w:rPr>
            </w:pPr>
            <w:r>
              <w:rPr>
                <w:rFonts w:ascii="Times New Roman" w:hAnsi="Times New Roman" w:cs="Times New Roman"/>
                <w:sz w:val="24"/>
                <w:szCs w:val="24"/>
              </w:rPr>
              <w:t>WA1W/00173556/7</w:t>
            </w:r>
          </w:p>
        </w:tc>
      </w:tr>
      <w:tr w:rsidR="004A009C" w14:paraId="2BCF6418" w14:textId="77777777">
        <w:trPr>
          <w:trHeight w:val="1219"/>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43A2F2" w14:textId="77777777" w:rsidR="004A009C" w:rsidRDefault="00B365B2">
            <w:pPr>
              <w:ind w:right="50"/>
            </w:pPr>
            <w:r>
              <w:rPr>
                <w:rFonts w:ascii="Times New Roman" w:eastAsia="Times New Roman" w:hAnsi="Times New Roman" w:cs="Times New Roman"/>
                <w:sz w:val="20"/>
              </w:rPr>
              <w:t xml:space="preserve">Istniejące obciążenia hipoteczne nieruchomości lub wnioski o wpis w dziale czwartym księgi wieczystej </w:t>
            </w:r>
          </w:p>
        </w:tc>
        <w:tc>
          <w:tcPr>
            <w:tcW w:w="6839" w:type="dxa"/>
            <w:gridSpan w:val="2"/>
            <w:tcBorders>
              <w:top w:val="single" w:sz="4" w:space="0" w:color="000000"/>
              <w:left w:val="single" w:sz="4" w:space="0" w:color="000000"/>
              <w:bottom w:val="single" w:sz="4" w:space="0" w:color="000000"/>
              <w:right w:val="single" w:sz="4" w:space="0" w:color="000000"/>
            </w:tcBorders>
          </w:tcPr>
          <w:p w14:paraId="07CF03BF" w14:textId="1BC2CDF1" w:rsidR="004A009C" w:rsidRPr="00D666BF" w:rsidRDefault="00B365B2">
            <w:pPr>
              <w:ind w:left="2"/>
              <w:rPr>
                <w:rFonts w:ascii="Times New Roman" w:hAnsi="Times New Roman" w:cs="Times New Roman"/>
                <w:sz w:val="24"/>
                <w:szCs w:val="24"/>
              </w:rPr>
            </w:pPr>
            <w:r w:rsidRPr="00D666BF">
              <w:rPr>
                <w:rFonts w:ascii="Times New Roman" w:eastAsia="Times New Roman" w:hAnsi="Times New Roman" w:cs="Times New Roman"/>
                <w:sz w:val="24"/>
                <w:szCs w:val="24"/>
              </w:rPr>
              <w:t xml:space="preserve"> </w:t>
            </w:r>
            <w:r w:rsidR="00D666BF">
              <w:rPr>
                <w:rFonts w:ascii="Times New Roman" w:eastAsia="Times New Roman" w:hAnsi="Times New Roman" w:cs="Times New Roman"/>
                <w:sz w:val="24"/>
                <w:szCs w:val="24"/>
              </w:rPr>
              <w:t>Brak</w:t>
            </w:r>
          </w:p>
        </w:tc>
      </w:tr>
      <w:tr w:rsidR="004A009C" w14:paraId="5B21D54D" w14:textId="77777777">
        <w:trPr>
          <w:trHeight w:val="1217"/>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3FBEEA" w14:textId="77777777" w:rsidR="004A009C" w:rsidRDefault="00B365B2">
            <w:pPr>
              <w:ind w:right="286"/>
            </w:pPr>
            <w:r>
              <w:rPr>
                <w:rFonts w:ascii="Times New Roman" w:eastAsia="Times New Roman" w:hAnsi="Times New Roman" w:cs="Times New Roman"/>
                <w:sz w:val="20"/>
              </w:rPr>
              <w:t>W przypadku braku księgi wieczystej informacja o powierzchni działki i stanie prawnym nieruchomości</w:t>
            </w:r>
            <w:r>
              <w:rPr>
                <w:rFonts w:ascii="Times New Roman" w:eastAsia="Times New Roman" w:hAnsi="Times New Roman" w:cs="Times New Roman"/>
                <w:sz w:val="20"/>
                <w:vertAlign w:val="superscript"/>
              </w:rPr>
              <w:footnoteReference w:id="2"/>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6839" w:type="dxa"/>
            <w:gridSpan w:val="2"/>
            <w:tcBorders>
              <w:top w:val="single" w:sz="4" w:space="0" w:color="000000"/>
              <w:left w:val="single" w:sz="4" w:space="0" w:color="000000"/>
              <w:bottom w:val="single" w:sz="4" w:space="0" w:color="000000"/>
              <w:right w:val="single" w:sz="4" w:space="0" w:color="000000"/>
            </w:tcBorders>
          </w:tcPr>
          <w:p w14:paraId="7E8BFACF" w14:textId="2C81B2FD" w:rsidR="004A009C" w:rsidRPr="00D666BF" w:rsidRDefault="00B365B2">
            <w:pPr>
              <w:ind w:left="2"/>
              <w:rPr>
                <w:rFonts w:ascii="Times New Roman" w:hAnsi="Times New Roman" w:cs="Times New Roman"/>
                <w:sz w:val="24"/>
                <w:szCs w:val="24"/>
              </w:rPr>
            </w:pPr>
            <w:r w:rsidRPr="00D666BF">
              <w:rPr>
                <w:rFonts w:ascii="Times New Roman" w:eastAsia="Times New Roman" w:hAnsi="Times New Roman" w:cs="Times New Roman"/>
                <w:sz w:val="24"/>
                <w:szCs w:val="24"/>
              </w:rPr>
              <w:t xml:space="preserve"> </w:t>
            </w:r>
            <w:r w:rsidR="00D666BF">
              <w:rPr>
                <w:rFonts w:ascii="Times New Roman" w:eastAsia="Times New Roman" w:hAnsi="Times New Roman" w:cs="Times New Roman"/>
                <w:sz w:val="24"/>
                <w:szCs w:val="24"/>
              </w:rPr>
              <w:t>Nie dotyczy</w:t>
            </w:r>
          </w:p>
        </w:tc>
      </w:tr>
      <w:tr w:rsidR="004A009C" w14:paraId="5FC8FFE2" w14:textId="77777777">
        <w:trPr>
          <w:trHeight w:val="1507"/>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00DFC9" w14:textId="77777777" w:rsidR="004A009C" w:rsidRDefault="00B365B2">
            <w:pPr>
              <w:ind w:right="126"/>
            </w:pPr>
            <w:r>
              <w:rPr>
                <w:rFonts w:ascii="Times New Roman" w:eastAsia="Times New Roman" w:hAnsi="Times New Roman" w:cs="Times New Roman"/>
                <w:sz w:val="20"/>
              </w:rPr>
              <w:t xml:space="preserve">Informacje dotyczące obiektów istniejących położonych w sąsiedztwie inwestycji </w:t>
            </w:r>
          </w:p>
          <w:p w14:paraId="089602AE" w14:textId="77777777" w:rsidR="004A009C" w:rsidRDefault="00B365B2">
            <w:r>
              <w:rPr>
                <w:rFonts w:ascii="Times New Roman" w:eastAsia="Times New Roman" w:hAnsi="Times New Roman" w:cs="Times New Roman"/>
                <w:sz w:val="20"/>
              </w:rPr>
              <w:t>i wpływających na warunki życia</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p>
        </w:tc>
        <w:tc>
          <w:tcPr>
            <w:tcW w:w="6839" w:type="dxa"/>
            <w:gridSpan w:val="2"/>
            <w:tcBorders>
              <w:top w:val="single" w:sz="4" w:space="0" w:color="000000"/>
              <w:left w:val="single" w:sz="4" w:space="0" w:color="000000"/>
              <w:bottom w:val="single" w:sz="4" w:space="0" w:color="000000"/>
              <w:right w:val="single" w:sz="4" w:space="0" w:color="000000"/>
            </w:tcBorders>
            <w:vAlign w:val="center"/>
          </w:tcPr>
          <w:p w14:paraId="7DF18CD2" w14:textId="1251C32A" w:rsidR="004A009C" w:rsidRDefault="00B365B2">
            <w:pPr>
              <w:spacing w:after="125"/>
              <w:ind w:left="2"/>
            </w:pPr>
            <w:r>
              <w:rPr>
                <w:rFonts w:ascii="Times New Roman" w:eastAsia="Times New Roman" w:hAnsi="Times New Roman" w:cs="Times New Roman"/>
                <w:sz w:val="20"/>
              </w:rPr>
              <w:t xml:space="preserve"> </w:t>
            </w:r>
            <w:r w:rsidR="00F00E4F">
              <w:rPr>
                <w:rFonts w:ascii="Times New Roman" w:eastAsia="Times New Roman" w:hAnsi="Times New Roman" w:cs="Times New Roman"/>
                <w:sz w:val="20"/>
              </w:rPr>
              <w:t>Brak</w:t>
            </w:r>
          </w:p>
          <w:p w14:paraId="36B45CA9" w14:textId="77777777" w:rsidR="004A009C" w:rsidRDefault="00B365B2">
            <w:pPr>
              <w:spacing w:after="125"/>
              <w:ind w:left="2"/>
            </w:pPr>
            <w:r>
              <w:rPr>
                <w:rFonts w:ascii="Times New Roman" w:eastAsia="Times New Roman" w:hAnsi="Times New Roman" w:cs="Times New Roman"/>
                <w:sz w:val="20"/>
              </w:rPr>
              <w:t xml:space="preserve"> </w:t>
            </w:r>
          </w:p>
          <w:p w14:paraId="40538959" w14:textId="77777777" w:rsidR="004A009C" w:rsidRDefault="00B365B2">
            <w:pPr>
              <w:ind w:left="2"/>
              <w:jc w:val="both"/>
            </w:pPr>
            <w:r>
              <w:rPr>
                <w:rFonts w:ascii="Times New Roman" w:eastAsia="Times New Roman" w:hAnsi="Times New Roman" w:cs="Times New Roman"/>
                <w:sz w:val="20"/>
              </w:rPr>
              <w:t xml:space="preserve">Uwarunkowania lokalizacji inwestycji wynikające z istniejącego stanu użytkowania terenów sąsiednich (np. z funkcji terenu, stref ochronnych, uciążliwości) </w:t>
            </w:r>
          </w:p>
        </w:tc>
      </w:tr>
      <w:tr w:rsidR="004A009C" w14:paraId="5F7A9E5C" w14:textId="77777777">
        <w:trPr>
          <w:trHeight w:val="1514"/>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D0D782A" w14:textId="77777777" w:rsidR="004A009C" w:rsidRDefault="00B365B2">
            <w:pPr>
              <w:spacing w:after="144" w:line="239" w:lineRule="auto"/>
              <w:ind w:right="15"/>
            </w:pPr>
            <w:r>
              <w:rPr>
                <w:rFonts w:ascii="Times New Roman" w:eastAsia="Times New Roman" w:hAnsi="Times New Roman" w:cs="Times New Roman"/>
                <w:sz w:val="20"/>
              </w:rPr>
              <w:t xml:space="preserve">Akty planowania przestrzennego i inne akty prawne na terenie objętym przedsięwzięciem deweloperskim lub zadaniem inwestycyjnym </w:t>
            </w:r>
          </w:p>
          <w:p w14:paraId="48C7AEC9"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2F893275" w14:textId="77777777" w:rsidR="004A009C" w:rsidRDefault="00B365B2">
            <w:pPr>
              <w:ind w:left="2" w:right="48"/>
              <w:jc w:val="both"/>
            </w:pPr>
            <w:r>
              <w:rPr>
                <w:rFonts w:ascii="Times New Roman" w:eastAsia="Times New Roman" w:hAnsi="Times New Roman" w:cs="Times New Roman"/>
                <w:sz w:val="20"/>
              </w:rPr>
              <w:t xml:space="preserve">Studium uwarunkowań i kierunków zagospodarowania przestrzennego gminy </w:t>
            </w:r>
          </w:p>
        </w:tc>
        <w:tc>
          <w:tcPr>
            <w:tcW w:w="3419" w:type="dxa"/>
            <w:vMerge w:val="restart"/>
            <w:tcBorders>
              <w:top w:val="single" w:sz="4" w:space="0" w:color="000000"/>
              <w:left w:val="single" w:sz="4" w:space="0" w:color="000000"/>
              <w:bottom w:val="single" w:sz="4" w:space="0" w:color="000000"/>
              <w:right w:val="single" w:sz="4" w:space="0" w:color="000000"/>
            </w:tcBorders>
          </w:tcPr>
          <w:p w14:paraId="7B5FCCFB" w14:textId="175760F4" w:rsidR="00F00E4F" w:rsidRDefault="00F00E4F" w:rsidP="00F00E4F">
            <w:pPr>
              <w:spacing w:line="256" w:lineRule="auto"/>
              <w:ind w:left="4" w:right="49"/>
              <w:jc w:val="both"/>
              <w:rPr>
                <w:rFonts w:ascii="Times New Roman" w:eastAsia="Times New Roman" w:hAnsi="Times New Roman" w:cs="Times New Roman"/>
                <w:sz w:val="20"/>
                <w:szCs w:val="20"/>
              </w:rPr>
            </w:pPr>
            <w:r w:rsidRPr="00F00E4F">
              <w:rPr>
                <w:rFonts w:ascii="Times New Roman" w:eastAsia="Times New Roman" w:hAnsi="Times New Roman" w:cs="Times New Roman"/>
                <w:sz w:val="20"/>
                <w:szCs w:val="20"/>
              </w:rPr>
              <w:t xml:space="preserve">Dla obszaru, na którym zlokalizowana </w:t>
            </w:r>
            <w:r w:rsidR="00D339F6">
              <w:rPr>
                <w:rFonts w:ascii="Times New Roman" w:eastAsia="Times New Roman" w:hAnsi="Times New Roman" w:cs="Times New Roman"/>
                <w:sz w:val="20"/>
                <w:szCs w:val="20"/>
              </w:rPr>
              <w:t>będzie</w:t>
            </w:r>
            <w:r w:rsidRPr="00F00E4F">
              <w:rPr>
                <w:rFonts w:ascii="Times New Roman" w:eastAsia="Times New Roman" w:hAnsi="Times New Roman" w:cs="Times New Roman"/>
                <w:sz w:val="20"/>
                <w:szCs w:val="20"/>
              </w:rPr>
              <w:t xml:space="preserve"> przedmiotowa nieruchomość ma uchwalon</w:t>
            </w:r>
            <w:r>
              <w:rPr>
                <w:rFonts w:ascii="Times New Roman" w:eastAsia="Times New Roman" w:hAnsi="Times New Roman" w:cs="Times New Roman"/>
                <w:sz w:val="20"/>
                <w:szCs w:val="20"/>
              </w:rPr>
              <w:t>y</w:t>
            </w:r>
            <w:r w:rsidRPr="00F00E4F">
              <w:rPr>
                <w:rFonts w:ascii="Times New Roman" w:eastAsia="Times New Roman" w:hAnsi="Times New Roman" w:cs="Times New Roman"/>
                <w:sz w:val="20"/>
                <w:szCs w:val="20"/>
              </w:rPr>
              <w:t xml:space="preserve"> miejscow</w:t>
            </w:r>
            <w:r>
              <w:rPr>
                <w:rFonts w:ascii="Times New Roman" w:eastAsia="Times New Roman" w:hAnsi="Times New Roman" w:cs="Times New Roman"/>
                <w:sz w:val="20"/>
                <w:szCs w:val="20"/>
              </w:rPr>
              <w:t>y</w:t>
            </w:r>
            <w:r w:rsidRPr="00F00E4F">
              <w:rPr>
                <w:rFonts w:ascii="Times New Roman" w:eastAsia="Times New Roman" w:hAnsi="Times New Roman" w:cs="Times New Roman"/>
                <w:sz w:val="20"/>
                <w:szCs w:val="20"/>
              </w:rPr>
              <w:t xml:space="preserve"> plan zagospodarowania przestrzennego, budowa w oparciu o zasady dobrego sąsiedztwa.</w:t>
            </w:r>
            <w:r w:rsidR="004C1105">
              <w:rPr>
                <w:rFonts w:ascii="Times New Roman" w:eastAsia="Times New Roman" w:hAnsi="Times New Roman" w:cs="Times New Roman"/>
                <w:sz w:val="20"/>
                <w:szCs w:val="20"/>
              </w:rPr>
              <w:t xml:space="preserve"> W dniu </w:t>
            </w:r>
            <w:r w:rsidR="00E61F59">
              <w:rPr>
                <w:rFonts w:ascii="Times New Roman" w:eastAsia="Times New Roman" w:hAnsi="Times New Roman" w:cs="Times New Roman"/>
                <w:sz w:val="20"/>
                <w:szCs w:val="20"/>
              </w:rPr>
              <w:t>09</w:t>
            </w:r>
            <w:r w:rsidR="004C1105">
              <w:rPr>
                <w:rFonts w:ascii="Times New Roman" w:eastAsia="Times New Roman" w:hAnsi="Times New Roman" w:cs="Times New Roman"/>
                <w:sz w:val="20"/>
                <w:szCs w:val="20"/>
              </w:rPr>
              <w:t>.0</w:t>
            </w:r>
            <w:r w:rsidR="00E61F59">
              <w:rPr>
                <w:rFonts w:ascii="Times New Roman" w:eastAsia="Times New Roman" w:hAnsi="Times New Roman" w:cs="Times New Roman"/>
                <w:sz w:val="20"/>
                <w:szCs w:val="20"/>
              </w:rPr>
              <w:t>4</w:t>
            </w:r>
            <w:r w:rsidR="004C1105">
              <w:rPr>
                <w:rFonts w:ascii="Times New Roman" w:eastAsia="Times New Roman" w:hAnsi="Times New Roman" w:cs="Times New Roman"/>
                <w:sz w:val="20"/>
                <w:szCs w:val="20"/>
              </w:rPr>
              <w:t>.202</w:t>
            </w:r>
            <w:r w:rsidR="00E61F59">
              <w:rPr>
                <w:rFonts w:ascii="Times New Roman" w:eastAsia="Times New Roman" w:hAnsi="Times New Roman" w:cs="Times New Roman"/>
                <w:sz w:val="20"/>
                <w:szCs w:val="20"/>
              </w:rPr>
              <w:t>4</w:t>
            </w:r>
            <w:r w:rsidR="004C1105">
              <w:rPr>
                <w:rFonts w:ascii="Times New Roman" w:eastAsia="Times New Roman" w:hAnsi="Times New Roman" w:cs="Times New Roman"/>
                <w:sz w:val="20"/>
                <w:szCs w:val="20"/>
              </w:rPr>
              <w:t xml:space="preserve"> r. został wydany</w:t>
            </w:r>
            <w:r w:rsidR="002C0885">
              <w:rPr>
                <w:rFonts w:ascii="Times New Roman" w:eastAsia="Times New Roman" w:hAnsi="Times New Roman" w:cs="Times New Roman"/>
                <w:sz w:val="20"/>
                <w:szCs w:val="20"/>
              </w:rPr>
              <w:t xml:space="preserve"> wypis</w:t>
            </w:r>
            <w:r w:rsidR="004C1105">
              <w:rPr>
                <w:rFonts w:ascii="Times New Roman" w:eastAsia="Times New Roman" w:hAnsi="Times New Roman" w:cs="Times New Roman"/>
                <w:sz w:val="20"/>
                <w:szCs w:val="20"/>
              </w:rPr>
              <w:t xml:space="preserve"> </w:t>
            </w:r>
            <w:r w:rsidR="00D339F6">
              <w:rPr>
                <w:rFonts w:ascii="Times New Roman" w:eastAsia="Times New Roman" w:hAnsi="Times New Roman" w:cs="Times New Roman"/>
                <w:sz w:val="20"/>
                <w:szCs w:val="20"/>
              </w:rPr>
              <w:t xml:space="preserve">z Miejscowego Planu Zagospodarowania Przestrzennego </w:t>
            </w:r>
            <w:r w:rsidR="00E61F59">
              <w:rPr>
                <w:rFonts w:ascii="Times New Roman" w:eastAsia="Times New Roman" w:hAnsi="Times New Roman" w:cs="Times New Roman"/>
                <w:sz w:val="20"/>
                <w:szCs w:val="20"/>
              </w:rPr>
              <w:t>WPP.6727.453.2024.</w:t>
            </w:r>
            <w:r w:rsidRPr="00F00E4F">
              <w:rPr>
                <w:rFonts w:ascii="Times New Roman" w:eastAsia="Times New Roman" w:hAnsi="Times New Roman" w:cs="Times New Roman"/>
                <w:sz w:val="20"/>
                <w:szCs w:val="20"/>
              </w:rPr>
              <w:t xml:space="preserve"> W dniu </w:t>
            </w:r>
            <w:r w:rsidR="00D32EFB">
              <w:rPr>
                <w:rFonts w:ascii="Times New Roman" w:eastAsia="Times New Roman" w:hAnsi="Times New Roman" w:cs="Times New Roman"/>
                <w:sz w:val="20"/>
                <w:szCs w:val="20"/>
              </w:rPr>
              <w:t>7</w:t>
            </w:r>
            <w:r w:rsidRPr="00F00E4F">
              <w:rPr>
                <w:rFonts w:ascii="Times New Roman" w:eastAsia="Times New Roman" w:hAnsi="Times New Roman" w:cs="Times New Roman"/>
                <w:sz w:val="20"/>
                <w:szCs w:val="20"/>
              </w:rPr>
              <w:t xml:space="preserve"> </w:t>
            </w:r>
            <w:r w:rsidR="00D32EFB">
              <w:rPr>
                <w:rFonts w:ascii="Times New Roman" w:eastAsia="Times New Roman" w:hAnsi="Times New Roman" w:cs="Times New Roman"/>
                <w:sz w:val="20"/>
                <w:szCs w:val="20"/>
              </w:rPr>
              <w:t>maja</w:t>
            </w:r>
            <w:r w:rsidRPr="00F00E4F">
              <w:rPr>
                <w:rFonts w:ascii="Times New Roman" w:eastAsia="Times New Roman" w:hAnsi="Times New Roman" w:cs="Times New Roman"/>
                <w:sz w:val="20"/>
                <w:szCs w:val="20"/>
              </w:rPr>
              <w:t xml:space="preserve"> 202</w:t>
            </w:r>
            <w:r w:rsidR="00D32EFB">
              <w:rPr>
                <w:rFonts w:ascii="Times New Roman" w:eastAsia="Times New Roman" w:hAnsi="Times New Roman" w:cs="Times New Roman"/>
                <w:sz w:val="20"/>
                <w:szCs w:val="20"/>
              </w:rPr>
              <w:t>5</w:t>
            </w:r>
            <w:r w:rsidRPr="00F00E4F">
              <w:rPr>
                <w:rFonts w:ascii="Times New Roman" w:eastAsia="Times New Roman" w:hAnsi="Times New Roman" w:cs="Times New Roman"/>
                <w:sz w:val="20"/>
                <w:szCs w:val="20"/>
              </w:rPr>
              <w:t xml:space="preserve"> roku została wydana decyzja zatwierdzająca projekt </w:t>
            </w:r>
            <w:r w:rsidR="00A65DD3">
              <w:rPr>
                <w:rFonts w:ascii="Times New Roman" w:eastAsia="Times New Roman" w:hAnsi="Times New Roman" w:cs="Times New Roman"/>
                <w:sz w:val="20"/>
                <w:szCs w:val="20"/>
              </w:rPr>
              <w:t>zagospodarowania terenu i projekt architektoniczno-</w:t>
            </w:r>
            <w:r w:rsidRPr="00F00E4F">
              <w:rPr>
                <w:rFonts w:ascii="Times New Roman" w:eastAsia="Times New Roman" w:hAnsi="Times New Roman" w:cs="Times New Roman"/>
                <w:sz w:val="20"/>
                <w:szCs w:val="20"/>
              </w:rPr>
              <w:t xml:space="preserve">budowlany </w:t>
            </w:r>
            <w:r w:rsidR="00A65DD3">
              <w:rPr>
                <w:rFonts w:ascii="Times New Roman" w:eastAsia="Times New Roman" w:hAnsi="Times New Roman" w:cs="Times New Roman"/>
                <w:sz w:val="20"/>
                <w:szCs w:val="20"/>
              </w:rPr>
              <w:t>oraz</w:t>
            </w:r>
            <w:r w:rsidRPr="00F00E4F">
              <w:rPr>
                <w:rFonts w:ascii="Times New Roman" w:eastAsia="Times New Roman" w:hAnsi="Times New Roman" w:cs="Times New Roman"/>
                <w:sz w:val="20"/>
                <w:szCs w:val="20"/>
              </w:rPr>
              <w:t xml:space="preserve"> udzielająca pozwolenie na budowę, znak:</w:t>
            </w:r>
            <w:r w:rsidR="00D32EFB">
              <w:rPr>
                <w:rFonts w:ascii="Times New Roman" w:eastAsia="Times New Roman" w:hAnsi="Times New Roman" w:cs="Times New Roman"/>
                <w:sz w:val="20"/>
                <w:szCs w:val="20"/>
              </w:rPr>
              <w:t xml:space="preserve"> WAB.6740.13.8.2025</w:t>
            </w:r>
            <w:r w:rsidRPr="00F00E4F">
              <w:rPr>
                <w:rFonts w:ascii="Times New Roman" w:eastAsia="Times New Roman" w:hAnsi="Times New Roman" w:cs="Times New Roman"/>
                <w:sz w:val="20"/>
                <w:szCs w:val="20"/>
              </w:rPr>
              <w:t xml:space="preserve"> o numerze </w:t>
            </w:r>
            <w:r w:rsidR="00D32EFB">
              <w:rPr>
                <w:rFonts w:ascii="Times New Roman" w:eastAsia="Times New Roman" w:hAnsi="Times New Roman" w:cs="Times New Roman"/>
                <w:sz w:val="20"/>
                <w:szCs w:val="20"/>
              </w:rPr>
              <w:t xml:space="preserve">303 </w:t>
            </w:r>
            <w:proofErr w:type="spellStart"/>
            <w:r w:rsidR="00D32EFB">
              <w:rPr>
                <w:rFonts w:ascii="Times New Roman" w:eastAsia="Times New Roman" w:hAnsi="Times New Roman" w:cs="Times New Roman"/>
                <w:sz w:val="20"/>
                <w:szCs w:val="20"/>
              </w:rPr>
              <w:t>pR</w:t>
            </w:r>
            <w:proofErr w:type="spellEnd"/>
            <w:r w:rsidRPr="00F00E4F">
              <w:rPr>
                <w:rFonts w:ascii="Times New Roman" w:eastAsia="Times New Roman" w:hAnsi="Times New Roman" w:cs="Times New Roman"/>
                <w:sz w:val="20"/>
                <w:szCs w:val="20"/>
              </w:rPr>
              <w:t>/202</w:t>
            </w:r>
            <w:r w:rsidR="00D32EFB">
              <w:rPr>
                <w:rFonts w:ascii="Times New Roman" w:eastAsia="Times New Roman" w:hAnsi="Times New Roman" w:cs="Times New Roman"/>
                <w:sz w:val="20"/>
                <w:szCs w:val="20"/>
              </w:rPr>
              <w:t>5</w:t>
            </w:r>
            <w:r w:rsidRPr="00F00E4F">
              <w:rPr>
                <w:rFonts w:ascii="Times New Roman" w:eastAsia="Times New Roman" w:hAnsi="Times New Roman" w:cs="Times New Roman"/>
                <w:sz w:val="20"/>
                <w:szCs w:val="20"/>
              </w:rPr>
              <w:t xml:space="preserve"> wydana z upoważnienia </w:t>
            </w:r>
            <w:r w:rsidR="00D32EFB">
              <w:rPr>
                <w:rFonts w:ascii="Times New Roman" w:eastAsia="Times New Roman" w:hAnsi="Times New Roman" w:cs="Times New Roman"/>
                <w:sz w:val="20"/>
                <w:szCs w:val="20"/>
              </w:rPr>
              <w:t>Starosty Wołomina</w:t>
            </w:r>
            <w:r w:rsidRPr="00F00E4F">
              <w:rPr>
                <w:rFonts w:ascii="Times New Roman" w:eastAsia="Times New Roman" w:hAnsi="Times New Roman" w:cs="Times New Roman"/>
                <w:sz w:val="20"/>
                <w:szCs w:val="20"/>
              </w:rPr>
              <w:t xml:space="preserve"> na spółkę Śledzik Smolicki VP Invest Development.</w:t>
            </w:r>
          </w:p>
          <w:p w14:paraId="3D37CA1F" w14:textId="3DF7B550" w:rsidR="00F00E4F" w:rsidRPr="00F00E4F" w:rsidRDefault="00F00E4F" w:rsidP="00F00E4F">
            <w:pPr>
              <w:spacing w:line="256" w:lineRule="auto"/>
              <w:ind w:left="4" w:right="49"/>
              <w:jc w:val="both"/>
              <w:rPr>
                <w:rFonts w:ascii="Times New Roman" w:hAnsi="Times New Roman" w:cs="Times New Roman"/>
                <w:sz w:val="20"/>
                <w:szCs w:val="20"/>
              </w:rPr>
            </w:pPr>
            <w:r w:rsidRPr="00F00E4F">
              <w:rPr>
                <w:rFonts w:ascii="Times New Roman" w:hAnsi="Times New Roman" w:cs="Times New Roman"/>
                <w:sz w:val="20"/>
                <w:szCs w:val="20"/>
              </w:rPr>
              <w:t>Cała planowana inwestycja na dział</w:t>
            </w:r>
            <w:r w:rsidR="00D32EFB">
              <w:rPr>
                <w:rFonts w:ascii="Times New Roman" w:hAnsi="Times New Roman" w:cs="Times New Roman"/>
                <w:sz w:val="20"/>
                <w:szCs w:val="20"/>
              </w:rPr>
              <w:t>ce</w:t>
            </w:r>
            <w:r w:rsidRPr="00F00E4F">
              <w:rPr>
                <w:rFonts w:ascii="Times New Roman" w:hAnsi="Times New Roman" w:cs="Times New Roman"/>
                <w:sz w:val="20"/>
                <w:szCs w:val="20"/>
              </w:rPr>
              <w:t xml:space="preserve"> gruntu</w:t>
            </w:r>
            <w:r w:rsidR="00D32EFB">
              <w:rPr>
                <w:rFonts w:ascii="Times New Roman" w:hAnsi="Times New Roman" w:cs="Times New Roman"/>
                <w:sz w:val="20"/>
                <w:szCs w:val="20"/>
              </w:rPr>
              <w:t xml:space="preserve"> 19/6</w:t>
            </w:r>
            <w:r w:rsidRPr="00F00E4F">
              <w:rPr>
                <w:rFonts w:ascii="Times New Roman" w:hAnsi="Times New Roman" w:cs="Times New Roman"/>
                <w:sz w:val="20"/>
                <w:szCs w:val="20"/>
              </w:rPr>
              <w:t xml:space="preserve"> będzie realizowana w </w:t>
            </w:r>
            <w:r w:rsidR="00D339F6">
              <w:rPr>
                <w:rFonts w:ascii="Times New Roman" w:hAnsi="Times New Roman" w:cs="Times New Roman"/>
                <w:sz w:val="20"/>
                <w:szCs w:val="20"/>
              </w:rPr>
              <w:t>trzech</w:t>
            </w:r>
            <w:r w:rsidRPr="00F00E4F">
              <w:rPr>
                <w:rFonts w:ascii="Times New Roman" w:hAnsi="Times New Roman" w:cs="Times New Roman"/>
                <w:sz w:val="20"/>
                <w:szCs w:val="20"/>
              </w:rPr>
              <w:t xml:space="preserve"> etapach  i polegać będzie na budowie </w:t>
            </w:r>
            <w:r w:rsidR="00D32EFB">
              <w:rPr>
                <w:rFonts w:ascii="Times New Roman" w:hAnsi="Times New Roman" w:cs="Times New Roman"/>
                <w:sz w:val="20"/>
                <w:szCs w:val="20"/>
              </w:rPr>
              <w:t>5</w:t>
            </w:r>
            <w:r w:rsidRPr="00F00E4F">
              <w:rPr>
                <w:rFonts w:ascii="Times New Roman" w:hAnsi="Times New Roman" w:cs="Times New Roman"/>
                <w:sz w:val="20"/>
                <w:szCs w:val="20"/>
              </w:rPr>
              <w:t xml:space="preserve"> budynków mieszkalnych</w:t>
            </w:r>
            <w:r w:rsidR="00D32EFB">
              <w:rPr>
                <w:rFonts w:ascii="Times New Roman" w:hAnsi="Times New Roman" w:cs="Times New Roman"/>
                <w:sz w:val="20"/>
                <w:szCs w:val="20"/>
              </w:rPr>
              <w:t>,  jednorodzinnych</w:t>
            </w:r>
            <w:r w:rsidRPr="00F00E4F">
              <w:rPr>
                <w:rFonts w:ascii="Times New Roman" w:hAnsi="Times New Roman" w:cs="Times New Roman"/>
                <w:sz w:val="20"/>
                <w:szCs w:val="20"/>
              </w:rPr>
              <w:t xml:space="preserve"> w zabudowie bliźniaczej</w:t>
            </w:r>
            <w:r w:rsidR="00D32EFB">
              <w:rPr>
                <w:rFonts w:ascii="Times New Roman" w:hAnsi="Times New Roman" w:cs="Times New Roman"/>
                <w:sz w:val="20"/>
                <w:szCs w:val="20"/>
              </w:rPr>
              <w:t xml:space="preserve"> i wolnostojącej ( po 2 lokale w każdym).</w:t>
            </w:r>
          </w:p>
          <w:p w14:paraId="3D617963" w14:textId="374DBCA0" w:rsidR="00AA36BF" w:rsidRPr="00AA36BF" w:rsidRDefault="00F00E4F" w:rsidP="00D32EFB">
            <w:pPr>
              <w:spacing w:line="256" w:lineRule="auto"/>
              <w:ind w:left="4" w:right="49"/>
              <w:jc w:val="both"/>
              <w:rPr>
                <w:rFonts w:ascii="Times New Roman" w:hAnsi="Times New Roman" w:cs="Times New Roman"/>
                <w:sz w:val="20"/>
                <w:szCs w:val="20"/>
              </w:rPr>
            </w:pPr>
            <w:r w:rsidRPr="00F00E4F">
              <w:rPr>
                <w:rFonts w:ascii="Times New Roman" w:hAnsi="Times New Roman" w:cs="Times New Roman"/>
                <w:sz w:val="20"/>
                <w:szCs w:val="20"/>
              </w:rPr>
              <w:t>Reklama inwestycji zgodnie z zapisem § 12 punkt 1 Umowy Deweloperskiej.</w:t>
            </w:r>
          </w:p>
        </w:tc>
      </w:tr>
      <w:tr w:rsidR="004A009C" w14:paraId="027E4305" w14:textId="77777777">
        <w:trPr>
          <w:trHeight w:val="758"/>
        </w:trPr>
        <w:tc>
          <w:tcPr>
            <w:tcW w:w="0" w:type="auto"/>
            <w:vMerge/>
            <w:tcBorders>
              <w:top w:val="nil"/>
              <w:left w:val="single" w:sz="4" w:space="0" w:color="000000"/>
              <w:bottom w:val="nil"/>
              <w:right w:val="single" w:sz="4" w:space="0" w:color="000000"/>
            </w:tcBorders>
          </w:tcPr>
          <w:p w14:paraId="7E1A0FA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8D67605" w14:textId="77777777" w:rsidR="004A009C" w:rsidRDefault="00B365B2">
            <w:pPr>
              <w:ind w:left="2"/>
            </w:pPr>
            <w:r>
              <w:rPr>
                <w:rFonts w:ascii="Times New Roman" w:eastAsia="Times New Roman" w:hAnsi="Times New Roman" w:cs="Times New Roman"/>
                <w:sz w:val="20"/>
              </w:rPr>
              <w:t xml:space="preserve">Miejscowy plan zagospodarowania przestrzennego </w:t>
            </w:r>
          </w:p>
        </w:tc>
        <w:tc>
          <w:tcPr>
            <w:tcW w:w="0" w:type="auto"/>
            <w:vMerge/>
            <w:tcBorders>
              <w:top w:val="nil"/>
              <w:left w:val="single" w:sz="4" w:space="0" w:color="000000"/>
              <w:bottom w:val="nil"/>
              <w:right w:val="single" w:sz="4" w:space="0" w:color="000000"/>
            </w:tcBorders>
          </w:tcPr>
          <w:p w14:paraId="667A7242" w14:textId="77777777" w:rsidR="004A009C" w:rsidRDefault="004A009C"/>
        </w:tc>
      </w:tr>
      <w:tr w:rsidR="004A009C" w14:paraId="4F7BC292" w14:textId="77777777">
        <w:trPr>
          <w:trHeight w:val="529"/>
        </w:trPr>
        <w:tc>
          <w:tcPr>
            <w:tcW w:w="0" w:type="auto"/>
            <w:vMerge/>
            <w:tcBorders>
              <w:top w:val="nil"/>
              <w:left w:val="single" w:sz="4" w:space="0" w:color="000000"/>
              <w:bottom w:val="nil"/>
              <w:right w:val="single" w:sz="4" w:space="0" w:color="000000"/>
            </w:tcBorders>
          </w:tcPr>
          <w:p w14:paraId="40DDBFA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60E434A" w14:textId="77777777" w:rsidR="004A009C" w:rsidRDefault="00B365B2">
            <w:pPr>
              <w:ind w:left="2"/>
            </w:pPr>
            <w:r>
              <w:rPr>
                <w:rFonts w:ascii="Times New Roman" w:eastAsia="Times New Roman" w:hAnsi="Times New Roman" w:cs="Times New Roman"/>
                <w:sz w:val="20"/>
              </w:rPr>
              <w:t xml:space="preserve">Miejscowy plan rewitalizacji </w:t>
            </w:r>
          </w:p>
        </w:tc>
        <w:tc>
          <w:tcPr>
            <w:tcW w:w="0" w:type="auto"/>
            <w:vMerge/>
            <w:tcBorders>
              <w:top w:val="nil"/>
              <w:left w:val="single" w:sz="4" w:space="0" w:color="000000"/>
              <w:bottom w:val="nil"/>
              <w:right w:val="single" w:sz="4" w:space="0" w:color="000000"/>
            </w:tcBorders>
          </w:tcPr>
          <w:p w14:paraId="3C381B4A" w14:textId="77777777" w:rsidR="004A009C" w:rsidRDefault="004A009C"/>
        </w:tc>
      </w:tr>
      <w:tr w:rsidR="004A009C" w14:paraId="75FF3BC0" w14:textId="77777777">
        <w:trPr>
          <w:trHeight w:val="528"/>
        </w:trPr>
        <w:tc>
          <w:tcPr>
            <w:tcW w:w="0" w:type="auto"/>
            <w:vMerge/>
            <w:tcBorders>
              <w:top w:val="nil"/>
              <w:left w:val="single" w:sz="4" w:space="0" w:color="000000"/>
              <w:bottom w:val="nil"/>
              <w:right w:val="single" w:sz="4" w:space="0" w:color="000000"/>
            </w:tcBorders>
          </w:tcPr>
          <w:p w14:paraId="59E428F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10461FA" w14:textId="77777777" w:rsidR="004A009C" w:rsidRDefault="00B365B2">
            <w:pPr>
              <w:ind w:left="2"/>
            </w:pPr>
            <w:r>
              <w:rPr>
                <w:rFonts w:ascii="Times New Roman" w:eastAsia="Times New Roman" w:hAnsi="Times New Roman" w:cs="Times New Roman"/>
                <w:sz w:val="20"/>
              </w:rPr>
              <w:t xml:space="preserve">Miejscowy plan odbudowy  </w:t>
            </w:r>
          </w:p>
        </w:tc>
        <w:tc>
          <w:tcPr>
            <w:tcW w:w="0" w:type="auto"/>
            <w:vMerge/>
            <w:tcBorders>
              <w:top w:val="nil"/>
              <w:left w:val="single" w:sz="4" w:space="0" w:color="000000"/>
              <w:bottom w:val="nil"/>
              <w:right w:val="single" w:sz="4" w:space="0" w:color="000000"/>
            </w:tcBorders>
          </w:tcPr>
          <w:p w14:paraId="402F69EB" w14:textId="77777777" w:rsidR="004A009C" w:rsidRDefault="004A009C"/>
        </w:tc>
      </w:tr>
      <w:tr w:rsidR="004A009C" w14:paraId="00BD8C18" w14:textId="77777777">
        <w:trPr>
          <w:trHeight w:val="528"/>
        </w:trPr>
        <w:tc>
          <w:tcPr>
            <w:tcW w:w="0" w:type="auto"/>
            <w:vMerge/>
            <w:tcBorders>
              <w:top w:val="nil"/>
              <w:left w:val="single" w:sz="4" w:space="0" w:color="000000"/>
              <w:bottom w:val="single" w:sz="4" w:space="0" w:color="000000"/>
              <w:right w:val="single" w:sz="4" w:space="0" w:color="000000"/>
            </w:tcBorders>
          </w:tcPr>
          <w:p w14:paraId="5BA43DB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6E0972E" w14:textId="77777777" w:rsidR="004A009C" w:rsidRDefault="00B365B2">
            <w:pPr>
              <w:ind w:left="2"/>
            </w:pPr>
            <w:r>
              <w:rPr>
                <w:rFonts w:ascii="Times New Roman" w:eastAsia="Times New Roman" w:hAnsi="Times New Roman" w:cs="Times New Roman"/>
                <w:sz w:val="20"/>
              </w:rPr>
              <w:t>Inne</w:t>
            </w: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xml:space="preserve"> </w:t>
            </w:r>
          </w:p>
        </w:tc>
        <w:tc>
          <w:tcPr>
            <w:tcW w:w="0" w:type="auto"/>
            <w:vMerge/>
            <w:tcBorders>
              <w:top w:val="nil"/>
              <w:left w:val="single" w:sz="4" w:space="0" w:color="000000"/>
              <w:bottom w:val="single" w:sz="4" w:space="0" w:color="000000"/>
              <w:right w:val="single" w:sz="4" w:space="0" w:color="000000"/>
            </w:tcBorders>
          </w:tcPr>
          <w:p w14:paraId="3114A9A9" w14:textId="77777777" w:rsidR="004A009C" w:rsidRDefault="004A009C"/>
        </w:tc>
      </w:tr>
      <w:tr w:rsidR="004A009C" w14:paraId="500E6E14" w14:textId="77777777">
        <w:trPr>
          <w:trHeight w:val="528"/>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B42414" w14:textId="77777777" w:rsidR="004A009C" w:rsidRDefault="00B365B2">
            <w:pPr>
              <w:spacing w:after="145" w:line="239" w:lineRule="auto"/>
            </w:pPr>
            <w:r>
              <w:rPr>
                <w:rFonts w:ascii="Times New Roman" w:eastAsia="Times New Roman" w:hAnsi="Times New Roman" w:cs="Times New Roman"/>
                <w:sz w:val="20"/>
              </w:rPr>
              <w:lastRenderedPageBreak/>
              <w:t xml:space="preserve">Ustalenia obowiązującego miejscowego planu zagospodarowania przestrzennego dla terenu objętego przedsięwzięciem deweloperskim lub zadaniem inwestycyjnym  </w:t>
            </w:r>
          </w:p>
          <w:p w14:paraId="53D8BEF3"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3D2251A5" w14:textId="77777777" w:rsidR="004A009C" w:rsidRDefault="00B365B2">
            <w:pPr>
              <w:ind w:left="2"/>
            </w:pPr>
            <w:r>
              <w:rPr>
                <w:rFonts w:ascii="Times New Roman" w:eastAsia="Times New Roman" w:hAnsi="Times New Roman" w:cs="Times New Roman"/>
                <w:sz w:val="20"/>
              </w:rPr>
              <w:t xml:space="preserve">Przeznaczenie terenu </w:t>
            </w:r>
          </w:p>
        </w:tc>
        <w:tc>
          <w:tcPr>
            <w:tcW w:w="3419" w:type="dxa"/>
            <w:tcBorders>
              <w:top w:val="single" w:sz="4" w:space="0" w:color="000000"/>
              <w:left w:val="single" w:sz="4" w:space="0" w:color="000000"/>
              <w:bottom w:val="single" w:sz="4" w:space="0" w:color="000000"/>
              <w:right w:val="single" w:sz="4" w:space="0" w:color="000000"/>
            </w:tcBorders>
            <w:vAlign w:val="center"/>
          </w:tcPr>
          <w:p w14:paraId="4DDE31E5" w14:textId="6624B042" w:rsidR="00DE65EC" w:rsidRDefault="00F94D4B" w:rsidP="00D32EFB">
            <w:pPr>
              <w:rPr>
                <w:rFonts w:ascii="Times New Roman" w:eastAsia="Times New Roman" w:hAnsi="Times New Roman" w:cs="Times New Roman"/>
                <w:sz w:val="20"/>
              </w:rPr>
            </w:pPr>
            <w:r>
              <w:rPr>
                <w:rFonts w:ascii="Times New Roman" w:eastAsia="Times New Roman" w:hAnsi="Times New Roman" w:cs="Times New Roman"/>
                <w:sz w:val="20"/>
              </w:rPr>
              <w:t>Teren przy</w:t>
            </w:r>
            <w:r w:rsidR="00DE65EC">
              <w:rPr>
                <w:rFonts w:ascii="Times New Roman" w:eastAsia="Times New Roman" w:hAnsi="Times New Roman" w:cs="Times New Roman"/>
                <w:sz w:val="20"/>
              </w:rPr>
              <w:t xml:space="preserve"> ul. </w:t>
            </w:r>
            <w:r w:rsidR="00D32EFB">
              <w:rPr>
                <w:rFonts w:ascii="Times New Roman" w:eastAsia="Times New Roman" w:hAnsi="Times New Roman" w:cs="Times New Roman"/>
                <w:sz w:val="20"/>
              </w:rPr>
              <w:t>Weneckiej/ Wczasowej 3</w:t>
            </w:r>
            <w:r w:rsidR="00DE65EC">
              <w:rPr>
                <w:rFonts w:ascii="Times New Roman" w:eastAsia="Times New Roman" w:hAnsi="Times New Roman" w:cs="Times New Roman"/>
                <w:sz w:val="20"/>
              </w:rPr>
              <w:t>, dział</w:t>
            </w:r>
            <w:r w:rsidR="00D32EFB">
              <w:rPr>
                <w:rFonts w:ascii="Times New Roman" w:eastAsia="Times New Roman" w:hAnsi="Times New Roman" w:cs="Times New Roman"/>
                <w:sz w:val="20"/>
              </w:rPr>
              <w:t>ka</w:t>
            </w:r>
            <w:r w:rsidR="00DE65EC">
              <w:rPr>
                <w:rFonts w:ascii="Times New Roman" w:eastAsia="Times New Roman" w:hAnsi="Times New Roman" w:cs="Times New Roman"/>
                <w:sz w:val="20"/>
              </w:rPr>
              <w:t xml:space="preserve"> nr ew. </w:t>
            </w:r>
            <w:r w:rsidR="00D32EFB">
              <w:rPr>
                <w:rFonts w:ascii="Times New Roman" w:eastAsia="Times New Roman" w:hAnsi="Times New Roman" w:cs="Times New Roman"/>
                <w:sz w:val="20"/>
              </w:rPr>
              <w:t>19/6</w:t>
            </w:r>
            <w:r w:rsidR="00DE65EC">
              <w:rPr>
                <w:rFonts w:ascii="Times New Roman" w:eastAsia="Times New Roman" w:hAnsi="Times New Roman" w:cs="Times New Roman"/>
                <w:sz w:val="20"/>
              </w:rPr>
              <w:t xml:space="preserve"> z obrębu </w:t>
            </w:r>
            <w:r w:rsidR="00D32EFB">
              <w:rPr>
                <w:rFonts w:ascii="Times New Roman" w:eastAsia="Times New Roman" w:hAnsi="Times New Roman" w:cs="Times New Roman"/>
                <w:sz w:val="20"/>
              </w:rPr>
              <w:t>01-07</w:t>
            </w:r>
            <w:r w:rsidR="00DE65EC">
              <w:rPr>
                <w:rFonts w:ascii="Times New Roman" w:eastAsia="Times New Roman" w:hAnsi="Times New Roman" w:cs="Times New Roman"/>
                <w:sz w:val="20"/>
              </w:rPr>
              <w:t xml:space="preserve"> znajduje się na terenie oznaczony</w:t>
            </w:r>
            <w:r w:rsidR="005214DA">
              <w:rPr>
                <w:rFonts w:ascii="Times New Roman" w:eastAsia="Times New Roman" w:hAnsi="Times New Roman" w:cs="Times New Roman"/>
                <w:sz w:val="20"/>
              </w:rPr>
              <w:t>m</w:t>
            </w:r>
            <w:r w:rsidR="00DE65EC">
              <w:rPr>
                <w:rFonts w:ascii="Times New Roman" w:eastAsia="Times New Roman" w:hAnsi="Times New Roman" w:cs="Times New Roman"/>
                <w:sz w:val="20"/>
              </w:rPr>
              <w:t xml:space="preserve"> symbolem: </w:t>
            </w:r>
            <w:r w:rsidR="00D32EFB">
              <w:rPr>
                <w:rFonts w:ascii="Times New Roman" w:eastAsia="Times New Roman" w:hAnsi="Times New Roman" w:cs="Times New Roman"/>
                <w:sz w:val="20"/>
              </w:rPr>
              <w:t>33 MU</w:t>
            </w:r>
            <w:r w:rsidR="00DE65EC">
              <w:rPr>
                <w:rFonts w:ascii="Times New Roman" w:eastAsia="Times New Roman" w:hAnsi="Times New Roman" w:cs="Times New Roman"/>
                <w:sz w:val="20"/>
              </w:rPr>
              <w:t xml:space="preserve"> o przeznaczeniu: teren zabudowy mieszkaniow</w:t>
            </w:r>
            <w:r w:rsidR="00D32EFB">
              <w:rPr>
                <w:rFonts w:ascii="Times New Roman" w:eastAsia="Times New Roman" w:hAnsi="Times New Roman" w:cs="Times New Roman"/>
                <w:sz w:val="20"/>
              </w:rPr>
              <w:t>o - usługowej</w:t>
            </w:r>
          </w:p>
          <w:p w14:paraId="68A2FE9B" w14:textId="66B8D3B8" w:rsidR="00DE65EC" w:rsidRDefault="00DE65EC">
            <w:pPr>
              <w:ind w:left="4"/>
            </w:pPr>
          </w:p>
        </w:tc>
      </w:tr>
      <w:tr w:rsidR="004A009C" w14:paraId="0D30F9E1" w14:textId="77777777">
        <w:trPr>
          <w:trHeight w:val="758"/>
        </w:trPr>
        <w:tc>
          <w:tcPr>
            <w:tcW w:w="0" w:type="auto"/>
            <w:vMerge/>
            <w:tcBorders>
              <w:top w:val="nil"/>
              <w:left w:val="single" w:sz="4" w:space="0" w:color="000000"/>
              <w:bottom w:val="nil"/>
              <w:right w:val="single" w:sz="4" w:space="0" w:color="000000"/>
            </w:tcBorders>
          </w:tcPr>
          <w:p w14:paraId="54A1D313"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F2B69A0" w14:textId="77777777" w:rsidR="004A009C" w:rsidRDefault="00B365B2">
            <w:pPr>
              <w:ind w:left="2"/>
            </w:pPr>
            <w:r>
              <w:rPr>
                <w:rFonts w:ascii="Times New Roman" w:eastAsia="Times New Roman" w:hAnsi="Times New Roman" w:cs="Times New Roman"/>
                <w:sz w:val="20"/>
              </w:rPr>
              <w:t xml:space="preserve">Maksymalna i minimalna intensywność zabudowy </w:t>
            </w:r>
          </w:p>
        </w:tc>
        <w:tc>
          <w:tcPr>
            <w:tcW w:w="3419" w:type="dxa"/>
            <w:tcBorders>
              <w:top w:val="single" w:sz="4" w:space="0" w:color="000000"/>
              <w:left w:val="single" w:sz="4" w:space="0" w:color="000000"/>
              <w:bottom w:val="single" w:sz="4" w:space="0" w:color="000000"/>
              <w:right w:val="single" w:sz="4" w:space="0" w:color="000000"/>
            </w:tcBorders>
          </w:tcPr>
          <w:p w14:paraId="1F800448" w14:textId="56E2610E" w:rsidR="004A009C" w:rsidRPr="008E4007" w:rsidRDefault="008E4007">
            <w:pPr>
              <w:ind w:left="4"/>
              <w:rPr>
                <w:rFonts w:ascii="Times New Roman" w:hAnsi="Times New Roman" w:cs="Times New Roman"/>
                <w:sz w:val="20"/>
                <w:szCs w:val="20"/>
              </w:rPr>
            </w:pPr>
            <w:r w:rsidRPr="008E4007">
              <w:rPr>
                <w:rFonts w:ascii="Times New Roman" w:hAnsi="Times New Roman" w:cs="Times New Roman"/>
                <w:sz w:val="20"/>
                <w:szCs w:val="20"/>
              </w:rPr>
              <w:t>Max 700 m2</w:t>
            </w:r>
          </w:p>
        </w:tc>
      </w:tr>
      <w:tr w:rsidR="004A009C" w14:paraId="24DE4C8C" w14:textId="77777777">
        <w:trPr>
          <w:trHeight w:val="528"/>
        </w:trPr>
        <w:tc>
          <w:tcPr>
            <w:tcW w:w="0" w:type="auto"/>
            <w:vMerge/>
            <w:tcBorders>
              <w:top w:val="nil"/>
              <w:left w:val="single" w:sz="4" w:space="0" w:color="000000"/>
              <w:bottom w:val="nil"/>
              <w:right w:val="single" w:sz="4" w:space="0" w:color="000000"/>
            </w:tcBorders>
          </w:tcPr>
          <w:p w14:paraId="2AEED74D"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7C65F0B" w14:textId="77777777" w:rsidR="004A009C" w:rsidRDefault="00B365B2">
            <w:pPr>
              <w:ind w:left="2"/>
            </w:pPr>
            <w:r>
              <w:rPr>
                <w:rFonts w:ascii="Times New Roman" w:eastAsia="Times New Roman" w:hAnsi="Times New Roman" w:cs="Times New Roman"/>
                <w:sz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038FA13" w14:textId="2A314948" w:rsidR="004A009C" w:rsidRDefault="00B365B2">
            <w:pPr>
              <w:ind w:left="4"/>
            </w:pPr>
            <w:r>
              <w:rPr>
                <w:rFonts w:ascii="Times New Roman" w:eastAsia="Times New Roman" w:hAnsi="Times New Roman" w:cs="Times New Roman"/>
                <w:sz w:val="20"/>
              </w:rPr>
              <w:t xml:space="preserve"> </w:t>
            </w:r>
            <w:r w:rsidR="00ED35BB">
              <w:rPr>
                <w:rFonts w:ascii="Times New Roman" w:eastAsia="Times New Roman" w:hAnsi="Times New Roman" w:cs="Times New Roman"/>
                <w:sz w:val="20"/>
              </w:rPr>
              <w:t>Dla zabudowy mieszkaniowej: do trzech kondygnacji naziemnych to jest parter, piętro i mieszkalne poddasze</w:t>
            </w:r>
          </w:p>
        </w:tc>
      </w:tr>
      <w:tr w:rsidR="004A009C" w14:paraId="51C273F2" w14:textId="77777777">
        <w:trPr>
          <w:trHeight w:val="759"/>
        </w:trPr>
        <w:tc>
          <w:tcPr>
            <w:tcW w:w="0" w:type="auto"/>
            <w:vMerge/>
            <w:tcBorders>
              <w:top w:val="nil"/>
              <w:left w:val="single" w:sz="4" w:space="0" w:color="000000"/>
              <w:bottom w:val="nil"/>
              <w:right w:val="single" w:sz="4" w:space="0" w:color="000000"/>
            </w:tcBorders>
          </w:tcPr>
          <w:p w14:paraId="7F2B5FB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E02E071" w14:textId="77777777" w:rsidR="004A009C" w:rsidRDefault="00B365B2">
            <w:pPr>
              <w:ind w:left="2"/>
              <w:jc w:val="both"/>
            </w:pPr>
            <w:r>
              <w:rPr>
                <w:rFonts w:ascii="Times New Roman" w:eastAsia="Times New Roman" w:hAnsi="Times New Roman" w:cs="Times New Roman"/>
                <w:sz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tcPr>
          <w:p w14:paraId="0F69327C" w14:textId="6B28E322" w:rsidR="004A009C" w:rsidRDefault="00B365B2">
            <w:pPr>
              <w:ind w:left="4"/>
            </w:pPr>
            <w:r>
              <w:rPr>
                <w:rFonts w:ascii="Times New Roman" w:eastAsia="Times New Roman" w:hAnsi="Times New Roman" w:cs="Times New Roman"/>
                <w:sz w:val="20"/>
              </w:rPr>
              <w:t xml:space="preserve"> </w:t>
            </w:r>
            <w:r w:rsidR="00ED35BB">
              <w:rPr>
                <w:rFonts w:ascii="Times New Roman" w:eastAsia="Times New Roman" w:hAnsi="Times New Roman" w:cs="Times New Roman"/>
                <w:sz w:val="20"/>
              </w:rPr>
              <w:t>5</w:t>
            </w:r>
            <w:r w:rsidR="009A3728">
              <w:rPr>
                <w:rFonts w:ascii="Times New Roman" w:eastAsia="Times New Roman" w:hAnsi="Times New Roman" w:cs="Times New Roman"/>
                <w:sz w:val="20"/>
              </w:rPr>
              <w:t>0%</w:t>
            </w:r>
          </w:p>
        </w:tc>
      </w:tr>
      <w:tr w:rsidR="004A009C" w14:paraId="3DD7B41C" w14:textId="77777777">
        <w:trPr>
          <w:trHeight w:val="528"/>
        </w:trPr>
        <w:tc>
          <w:tcPr>
            <w:tcW w:w="0" w:type="auto"/>
            <w:vMerge/>
            <w:tcBorders>
              <w:top w:val="nil"/>
              <w:left w:val="single" w:sz="4" w:space="0" w:color="000000"/>
              <w:bottom w:val="nil"/>
              <w:right w:val="single" w:sz="4" w:space="0" w:color="000000"/>
            </w:tcBorders>
          </w:tcPr>
          <w:p w14:paraId="2BE6EDE5"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5414202" w14:textId="77777777" w:rsidR="004A009C" w:rsidRDefault="00B365B2">
            <w:pPr>
              <w:ind w:left="2"/>
            </w:pPr>
            <w:r>
              <w:rPr>
                <w:rFonts w:ascii="Times New Roman" w:eastAsia="Times New Roman" w:hAnsi="Times New Roman" w:cs="Times New Roman"/>
                <w:sz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438E1C12" w14:textId="1F6F828C" w:rsidR="004A009C" w:rsidRDefault="00571167">
            <w:pPr>
              <w:ind w:left="4"/>
            </w:pPr>
            <w:r>
              <w:rPr>
                <w:rFonts w:ascii="Times New Roman" w:eastAsia="Times New Roman" w:hAnsi="Times New Roman" w:cs="Times New Roman"/>
                <w:sz w:val="20"/>
              </w:rPr>
              <w:t xml:space="preserve">Dla zabudowy mieszkaniowej jednorodzinnej – </w:t>
            </w:r>
            <w:r w:rsidR="00ED35BB">
              <w:rPr>
                <w:rFonts w:ascii="Times New Roman" w:eastAsia="Times New Roman" w:hAnsi="Times New Roman" w:cs="Times New Roman"/>
                <w:sz w:val="20"/>
              </w:rPr>
              <w:t>minimum 2 miejsca do parkowania na 1 lokal mieszkalny w budynku</w:t>
            </w:r>
          </w:p>
        </w:tc>
      </w:tr>
      <w:tr w:rsidR="004A009C" w14:paraId="4370E8DB" w14:textId="77777777">
        <w:trPr>
          <w:trHeight w:val="758"/>
        </w:trPr>
        <w:tc>
          <w:tcPr>
            <w:tcW w:w="0" w:type="auto"/>
            <w:vMerge/>
            <w:tcBorders>
              <w:top w:val="nil"/>
              <w:left w:val="single" w:sz="4" w:space="0" w:color="000000"/>
              <w:bottom w:val="nil"/>
              <w:right w:val="single" w:sz="4" w:space="0" w:color="000000"/>
            </w:tcBorders>
          </w:tcPr>
          <w:p w14:paraId="17255A4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0F055A45" w14:textId="77777777" w:rsidR="004A009C" w:rsidRDefault="00B365B2">
            <w:pPr>
              <w:ind w:left="2"/>
              <w:jc w:val="both"/>
            </w:pPr>
            <w:r>
              <w:rPr>
                <w:rFonts w:ascii="Times New Roman" w:eastAsia="Times New Roman" w:hAnsi="Times New Roman" w:cs="Times New Roman"/>
                <w:sz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tcPr>
          <w:p w14:paraId="5B64C1F0" w14:textId="4E856055" w:rsidR="004A009C" w:rsidRDefault="00CD69B1">
            <w:pPr>
              <w:ind w:left="4"/>
            </w:pPr>
            <w:r>
              <w:rPr>
                <w:rFonts w:ascii="Times New Roman" w:eastAsia="Times New Roman" w:hAnsi="Times New Roman" w:cs="Times New Roman"/>
                <w:sz w:val="20"/>
              </w:rPr>
              <w:t xml:space="preserve">Według miejscowego planu zagospodarowania </w:t>
            </w:r>
          </w:p>
        </w:tc>
      </w:tr>
      <w:tr w:rsidR="004A009C" w14:paraId="425166F4" w14:textId="77777777">
        <w:trPr>
          <w:trHeight w:val="1216"/>
        </w:trPr>
        <w:tc>
          <w:tcPr>
            <w:tcW w:w="0" w:type="auto"/>
            <w:vMerge/>
            <w:tcBorders>
              <w:top w:val="nil"/>
              <w:left w:val="single" w:sz="4" w:space="0" w:color="000000"/>
              <w:bottom w:val="single" w:sz="4" w:space="0" w:color="000000"/>
              <w:right w:val="single" w:sz="4" w:space="0" w:color="000000"/>
            </w:tcBorders>
          </w:tcPr>
          <w:p w14:paraId="5DA1FD23"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A7910EA" w14:textId="77777777" w:rsidR="004A009C" w:rsidRDefault="00B365B2">
            <w:pPr>
              <w:ind w:left="2" w:right="51"/>
              <w:jc w:val="both"/>
            </w:pPr>
            <w:r>
              <w:rPr>
                <w:rFonts w:ascii="Times New Roman" w:eastAsia="Times New Roman" w:hAnsi="Times New Roman" w:cs="Times New Roman"/>
                <w:sz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18ABBC0" w14:textId="24283F51" w:rsidR="004A009C" w:rsidRPr="00F94D4B" w:rsidRDefault="00B365B2">
            <w:pPr>
              <w:ind w:left="4"/>
              <w:rPr>
                <w:rFonts w:ascii="Times New Roman" w:hAnsi="Times New Roman" w:cs="Times New Roman"/>
                <w:sz w:val="20"/>
                <w:szCs w:val="20"/>
              </w:rPr>
            </w:pPr>
            <w:r>
              <w:rPr>
                <w:rFonts w:ascii="Times New Roman" w:eastAsia="Times New Roman" w:hAnsi="Times New Roman" w:cs="Times New Roman"/>
                <w:sz w:val="20"/>
              </w:rPr>
              <w:t xml:space="preserve"> </w:t>
            </w:r>
            <w:r w:rsidR="00571167" w:rsidRPr="00F94D4B">
              <w:rPr>
                <w:rFonts w:ascii="Times New Roman" w:eastAsia="Times New Roman" w:hAnsi="Times New Roman" w:cs="Times New Roman"/>
                <w:sz w:val="20"/>
                <w:szCs w:val="20"/>
              </w:rPr>
              <w:t>Nie dotyczy</w:t>
            </w:r>
          </w:p>
        </w:tc>
      </w:tr>
    </w:tbl>
    <w:p w14:paraId="47E76CF1" w14:textId="77777777" w:rsidR="004A009C" w:rsidRDefault="00B365B2">
      <w:pPr>
        <w:spacing w:after="5"/>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14:paraId="144B37BD" w14:textId="77777777" w:rsidR="004A009C" w:rsidRDefault="00B365B2">
      <w:pPr>
        <w:numPr>
          <w:ilvl w:val="0"/>
          <w:numId w:val="2"/>
        </w:numPr>
        <w:spacing w:after="50" w:line="263" w:lineRule="auto"/>
        <w:ind w:hanging="281"/>
        <w:jc w:val="both"/>
      </w:pPr>
      <w:r>
        <w:rPr>
          <w:rFonts w:ascii="Times New Roman" w:eastAsia="Times New Roman" w:hAnsi="Times New Roman" w:cs="Times New Roman"/>
          <w:sz w:val="18"/>
        </w:rPr>
        <w:t xml:space="preserve">W szczególności obiekty generujące uciążliwości zapachowe, hałasowe, świetlne. </w:t>
      </w:r>
    </w:p>
    <w:p w14:paraId="24A60D80" w14:textId="77777777" w:rsidR="004A009C" w:rsidRDefault="00B365B2">
      <w:pPr>
        <w:numPr>
          <w:ilvl w:val="0"/>
          <w:numId w:val="2"/>
        </w:numPr>
        <w:spacing w:after="4" w:line="263" w:lineRule="auto"/>
        <w:ind w:hanging="281"/>
        <w:jc w:val="both"/>
      </w:pPr>
      <w:r>
        <w:rPr>
          <w:rFonts w:ascii="Times New Roman" w:eastAsia="Times New Roman" w:hAnsi="Times New Roman" w:cs="Times New Roman"/>
          <w:sz w:val="18"/>
        </w:rPr>
        <w:t xml:space="preserve">Akty prawne (rozporządzenia, zarządzenia, uchwały, decyzje) w sprawie: </w:t>
      </w:r>
    </w:p>
    <w:p w14:paraId="1160B80D"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dokonania rezerwacji obszaru inwestycji (Centralny Port Komunikacyjny), </w:t>
      </w:r>
    </w:p>
    <w:p w14:paraId="46818850"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lokalizacji inwestycji mieszkaniowej lub inwestycji towarzyszącej, </w:t>
      </w:r>
    </w:p>
    <w:p w14:paraId="72574ABD"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19DB2129"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ustanowienia strefy ochronnej terenu ochrony bezpośredniej i terenu ochrony pośredniej ujęcia wody, </w:t>
      </w:r>
    </w:p>
    <w:p w14:paraId="0693D5F9"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wyznaczenia obszarów cichych w aglomeracji lub obszarów cichych poza aglomeracją, </w:t>
      </w:r>
    </w:p>
    <w:p w14:paraId="70846E25"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utworzenia obszaru ograniczonego użytkowania, </w:t>
      </w:r>
    </w:p>
    <w:p w14:paraId="23828697"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uznania zabytku za pomnik historii, </w:t>
      </w:r>
    </w:p>
    <w:p w14:paraId="61722027"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określenia granic obszaru Pomnika Zagłady i jego strefy ochronnej, utworzenia parku kulturowego, </w:t>
      </w:r>
    </w:p>
    <w:p w14:paraId="72485514" w14:textId="77777777" w:rsidR="004A009C" w:rsidRDefault="00B365B2">
      <w:pPr>
        <w:numPr>
          <w:ilvl w:val="1"/>
          <w:numId w:val="2"/>
        </w:numPr>
        <w:spacing w:after="4" w:line="248" w:lineRule="auto"/>
        <w:ind w:hanging="283"/>
        <w:jc w:val="both"/>
      </w:pPr>
      <w:r>
        <w:rPr>
          <w:rFonts w:ascii="Times New Roman" w:eastAsia="Times New Roman" w:hAnsi="Times New Roman" w:cs="Times New Roman"/>
          <w:sz w:val="18"/>
        </w:rPr>
        <w:t xml:space="preserve">ustalenia zasad i warunków sytuowania obiektów małej architektury, tablic reklamowych i urządzeń reklamowych oraz ogrodzeń, ich gabarytów, standardów jakościowych oraz rodzajów materiałów budowlanych. </w:t>
      </w:r>
    </w:p>
    <w:p w14:paraId="5BF4C318" w14:textId="77777777" w:rsidR="004A009C" w:rsidRDefault="004A009C">
      <w:pPr>
        <w:spacing w:after="0"/>
        <w:ind w:left="-1020" w:right="108"/>
      </w:pPr>
    </w:p>
    <w:tbl>
      <w:tblPr>
        <w:tblStyle w:val="TableGrid"/>
        <w:tblW w:w="9649" w:type="dxa"/>
        <w:tblInd w:w="109" w:type="dxa"/>
        <w:tblCellMar>
          <w:top w:w="47" w:type="dxa"/>
          <w:left w:w="107" w:type="dxa"/>
          <w:right w:w="56" w:type="dxa"/>
        </w:tblCellMar>
        <w:tblLook w:val="04A0" w:firstRow="1" w:lastRow="0" w:firstColumn="1" w:lastColumn="0" w:noHBand="0" w:noVBand="1"/>
      </w:tblPr>
      <w:tblGrid>
        <w:gridCol w:w="2542"/>
        <w:gridCol w:w="2944"/>
        <w:gridCol w:w="4163"/>
      </w:tblGrid>
      <w:tr w:rsidR="004A009C" w14:paraId="2192603A" w14:textId="77777777">
        <w:trPr>
          <w:trHeight w:val="988"/>
        </w:trPr>
        <w:tc>
          <w:tcPr>
            <w:tcW w:w="2809" w:type="dxa"/>
            <w:vMerge w:val="restart"/>
            <w:tcBorders>
              <w:top w:val="single" w:sz="4" w:space="0" w:color="000000"/>
              <w:left w:val="single" w:sz="4" w:space="0" w:color="000000"/>
              <w:bottom w:val="nil"/>
              <w:right w:val="single" w:sz="4" w:space="0" w:color="000000"/>
            </w:tcBorders>
            <w:shd w:val="clear" w:color="auto" w:fill="F3F3F3"/>
          </w:tcPr>
          <w:p w14:paraId="57ED600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88A1DD3" w14:textId="77777777" w:rsidR="004A009C" w:rsidRDefault="00B365B2">
            <w:pPr>
              <w:ind w:left="2" w:right="51"/>
              <w:jc w:val="both"/>
            </w:pPr>
            <w:r>
              <w:rPr>
                <w:rFonts w:ascii="Times New Roman" w:eastAsia="Times New Roman" w:hAnsi="Times New Roman" w:cs="Times New Roman"/>
                <w:sz w:val="20"/>
              </w:rPr>
              <w:t xml:space="preserve">Warunki ochrony dziedzictwa kulturowego i zabytków oraz dóbr kultury współczesnej </w:t>
            </w:r>
          </w:p>
        </w:tc>
        <w:tc>
          <w:tcPr>
            <w:tcW w:w="3421" w:type="dxa"/>
            <w:tcBorders>
              <w:top w:val="single" w:sz="4" w:space="0" w:color="000000"/>
              <w:left w:val="single" w:sz="4" w:space="0" w:color="000000"/>
              <w:bottom w:val="single" w:sz="4" w:space="0" w:color="000000"/>
              <w:right w:val="single" w:sz="4" w:space="0" w:color="000000"/>
            </w:tcBorders>
          </w:tcPr>
          <w:p w14:paraId="75A6F859" w14:textId="06951473" w:rsidR="004A009C" w:rsidRPr="00F94D4B" w:rsidRDefault="00B365B2">
            <w:pPr>
              <w:ind w:left="4"/>
              <w:rPr>
                <w:sz w:val="20"/>
                <w:szCs w:val="20"/>
              </w:rPr>
            </w:pPr>
            <w:r>
              <w:rPr>
                <w:rFonts w:ascii="Times New Roman" w:eastAsia="Times New Roman" w:hAnsi="Times New Roman" w:cs="Times New Roman"/>
                <w:sz w:val="20"/>
              </w:rPr>
              <w:t xml:space="preserve"> </w:t>
            </w:r>
            <w:r w:rsidR="006C64C7" w:rsidRPr="00F94D4B">
              <w:rPr>
                <w:rFonts w:ascii="Times New Roman" w:eastAsia="Times New Roman" w:hAnsi="Times New Roman" w:cs="Times New Roman"/>
                <w:sz w:val="20"/>
                <w:szCs w:val="20"/>
              </w:rPr>
              <w:t xml:space="preserve">Nie dotyczy </w:t>
            </w:r>
          </w:p>
        </w:tc>
      </w:tr>
      <w:tr w:rsidR="004A009C" w14:paraId="6EF8FC11" w14:textId="77777777">
        <w:trPr>
          <w:trHeight w:val="1216"/>
        </w:trPr>
        <w:tc>
          <w:tcPr>
            <w:tcW w:w="0" w:type="auto"/>
            <w:vMerge/>
            <w:tcBorders>
              <w:top w:val="nil"/>
              <w:left w:val="single" w:sz="4" w:space="0" w:color="000000"/>
              <w:bottom w:val="nil"/>
              <w:right w:val="single" w:sz="4" w:space="0" w:color="000000"/>
            </w:tcBorders>
          </w:tcPr>
          <w:p w14:paraId="07824825"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C167A53" w14:textId="77777777" w:rsidR="004A009C" w:rsidRDefault="00B365B2">
            <w:pPr>
              <w:ind w:left="2" w:right="51"/>
              <w:jc w:val="both"/>
            </w:pPr>
            <w:r>
              <w:rPr>
                <w:rFonts w:ascii="Times New Roman" w:eastAsia="Times New Roman" w:hAnsi="Times New Roman" w:cs="Times New Roman"/>
                <w:sz w:val="20"/>
              </w:rPr>
              <w:t xml:space="preserve">Wymagania dotyczące ochrony innych terenów lub obiektów podlegających ochronie na podstawie przepisów odrębnych </w:t>
            </w:r>
          </w:p>
        </w:tc>
        <w:tc>
          <w:tcPr>
            <w:tcW w:w="3421" w:type="dxa"/>
            <w:tcBorders>
              <w:top w:val="single" w:sz="4" w:space="0" w:color="000000"/>
              <w:left w:val="single" w:sz="4" w:space="0" w:color="000000"/>
              <w:bottom w:val="single" w:sz="4" w:space="0" w:color="000000"/>
              <w:right w:val="single" w:sz="4" w:space="0" w:color="000000"/>
            </w:tcBorders>
          </w:tcPr>
          <w:p w14:paraId="755F958B" w14:textId="19A6041B" w:rsidR="004A009C" w:rsidRPr="00F94D4B" w:rsidRDefault="006C64C7">
            <w:pPr>
              <w:ind w:left="4"/>
              <w:rPr>
                <w:rFonts w:ascii="Times New Roman" w:hAnsi="Times New Roman" w:cs="Times New Roman"/>
                <w:sz w:val="20"/>
                <w:szCs w:val="20"/>
              </w:rPr>
            </w:pPr>
            <w:r w:rsidRPr="00F94D4B">
              <w:rPr>
                <w:rFonts w:ascii="Times New Roman" w:hAnsi="Times New Roman" w:cs="Times New Roman"/>
                <w:sz w:val="20"/>
                <w:szCs w:val="20"/>
              </w:rPr>
              <w:t xml:space="preserve">Nie dotyczy </w:t>
            </w:r>
          </w:p>
        </w:tc>
      </w:tr>
      <w:tr w:rsidR="004A009C" w14:paraId="5DFDD717" w14:textId="77777777">
        <w:trPr>
          <w:trHeight w:val="760"/>
        </w:trPr>
        <w:tc>
          <w:tcPr>
            <w:tcW w:w="2809" w:type="dxa"/>
            <w:vMerge w:val="restart"/>
            <w:tcBorders>
              <w:top w:val="nil"/>
              <w:left w:val="single" w:sz="4" w:space="0" w:color="000000"/>
              <w:bottom w:val="single" w:sz="4" w:space="0" w:color="000000"/>
              <w:right w:val="single" w:sz="4" w:space="0" w:color="000000"/>
            </w:tcBorders>
            <w:shd w:val="clear" w:color="auto" w:fill="F3F3F3"/>
          </w:tcPr>
          <w:p w14:paraId="60EAFAB4"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1A0C633" w14:textId="77777777" w:rsidR="004A009C" w:rsidRDefault="00B365B2">
            <w:pPr>
              <w:ind w:left="2"/>
              <w:jc w:val="both"/>
            </w:pPr>
            <w:r>
              <w:rPr>
                <w:rFonts w:ascii="Times New Roman" w:eastAsia="Times New Roman" w:hAnsi="Times New Roman" w:cs="Times New Roman"/>
                <w:sz w:val="20"/>
              </w:rPr>
              <w:t xml:space="preserve">Warunki i szczegółowe zasady obsługi w zakresie komunikacji </w:t>
            </w:r>
          </w:p>
        </w:tc>
        <w:tc>
          <w:tcPr>
            <w:tcW w:w="3421" w:type="dxa"/>
            <w:tcBorders>
              <w:top w:val="single" w:sz="4" w:space="0" w:color="000000"/>
              <w:left w:val="single" w:sz="4" w:space="0" w:color="000000"/>
              <w:bottom w:val="single" w:sz="4" w:space="0" w:color="000000"/>
              <w:right w:val="single" w:sz="4" w:space="0" w:color="000000"/>
            </w:tcBorders>
          </w:tcPr>
          <w:p w14:paraId="7FE06133" w14:textId="6743E4AC" w:rsidR="004A009C" w:rsidRPr="00A31F15" w:rsidRDefault="00ED35BB" w:rsidP="006C3E4C">
            <w:pPr>
              <w:rPr>
                <w:rFonts w:ascii="Times New Roman" w:hAnsi="Times New Roman" w:cs="Times New Roman"/>
                <w:sz w:val="20"/>
                <w:szCs w:val="20"/>
              </w:rPr>
            </w:pPr>
            <w:r>
              <w:rPr>
                <w:rFonts w:ascii="Times New Roman" w:eastAsia="Times New Roman" w:hAnsi="Times New Roman" w:cs="Times New Roman"/>
                <w:sz w:val="20"/>
              </w:rPr>
              <w:t>Według miejscowego planu zagospodarowania</w:t>
            </w:r>
          </w:p>
        </w:tc>
      </w:tr>
      <w:tr w:rsidR="004A009C" w14:paraId="7560AF3E" w14:textId="77777777">
        <w:trPr>
          <w:trHeight w:val="758"/>
        </w:trPr>
        <w:tc>
          <w:tcPr>
            <w:tcW w:w="0" w:type="auto"/>
            <w:vMerge/>
            <w:tcBorders>
              <w:top w:val="nil"/>
              <w:left w:val="single" w:sz="4" w:space="0" w:color="000000"/>
              <w:bottom w:val="single" w:sz="4" w:space="0" w:color="000000"/>
              <w:right w:val="single" w:sz="4" w:space="0" w:color="000000"/>
            </w:tcBorders>
          </w:tcPr>
          <w:p w14:paraId="6E31670B"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84AFB17" w14:textId="77777777" w:rsidR="004A009C" w:rsidRDefault="00B365B2">
            <w:pPr>
              <w:ind w:left="2"/>
              <w:jc w:val="both"/>
            </w:pPr>
            <w:r>
              <w:rPr>
                <w:rFonts w:ascii="Times New Roman" w:eastAsia="Times New Roman" w:hAnsi="Times New Roman" w:cs="Times New Roman"/>
                <w:sz w:val="20"/>
              </w:rPr>
              <w:t xml:space="preserve">Warunki i szczegółowe zasady obsługi w zakresie infrastruktury technicznej </w:t>
            </w:r>
          </w:p>
        </w:tc>
        <w:tc>
          <w:tcPr>
            <w:tcW w:w="3421" w:type="dxa"/>
            <w:tcBorders>
              <w:top w:val="single" w:sz="4" w:space="0" w:color="000000"/>
              <w:left w:val="single" w:sz="4" w:space="0" w:color="000000"/>
              <w:bottom w:val="single" w:sz="4" w:space="0" w:color="000000"/>
              <w:right w:val="single" w:sz="4" w:space="0" w:color="000000"/>
            </w:tcBorders>
          </w:tcPr>
          <w:p w14:paraId="74848836" w14:textId="04D66BCD" w:rsidR="009A3728" w:rsidRDefault="009A3728" w:rsidP="009A3728">
            <w:pPr>
              <w:spacing w:line="259" w:lineRule="auto"/>
              <w:rPr>
                <w:rFonts w:ascii="Times New Roman" w:hAnsi="Times New Roman" w:cs="Times New Roman"/>
                <w:sz w:val="20"/>
                <w:szCs w:val="20"/>
              </w:rPr>
            </w:pPr>
            <w:r w:rsidRPr="009A3728">
              <w:rPr>
                <w:rFonts w:ascii="Times New Roman" w:hAnsi="Times New Roman" w:cs="Times New Roman"/>
                <w:sz w:val="20"/>
                <w:szCs w:val="20"/>
              </w:rPr>
              <w:t>Planowaną inwestycję będzie podłączon</w:t>
            </w:r>
            <w:r w:rsidR="004918A1">
              <w:rPr>
                <w:rFonts w:ascii="Times New Roman" w:hAnsi="Times New Roman" w:cs="Times New Roman"/>
                <w:sz w:val="20"/>
                <w:szCs w:val="20"/>
              </w:rPr>
              <w:t>a</w:t>
            </w:r>
            <w:r w:rsidRPr="009A3728">
              <w:rPr>
                <w:rFonts w:ascii="Times New Roman" w:hAnsi="Times New Roman" w:cs="Times New Roman"/>
                <w:sz w:val="20"/>
                <w:szCs w:val="20"/>
              </w:rPr>
              <w:t xml:space="preserve"> do istniejącej miejskiej sieci inżynieryjnej wg umów zawartych między właściwą jednostką organizacyjną, a wnioskodawcą  w zakresie: </w:t>
            </w:r>
          </w:p>
          <w:p w14:paraId="4F1A0518" w14:textId="1855360A" w:rsidR="009A3728" w:rsidRPr="009A3728" w:rsidRDefault="009A3728" w:rsidP="009A3728">
            <w:pPr>
              <w:rPr>
                <w:rFonts w:ascii="Times New Roman" w:hAnsi="Times New Roman" w:cs="Times New Roman"/>
                <w:sz w:val="20"/>
                <w:szCs w:val="20"/>
              </w:rPr>
            </w:pPr>
            <w:r w:rsidRPr="009A3728">
              <w:rPr>
                <w:rFonts w:ascii="Times New Roman" w:hAnsi="Times New Roman" w:cs="Times New Roman"/>
                <w:sz w:val="20"/>
                <w:szCs w:val="20"/>
              </w:rPr>
              <w:t xml:space="preserve">zaopatrzenie w energię elektryczną, </w:t>
            </w:r>
          </w:p>
          <w:p w14:paraId="34424F8C" w14:textId="77777777" w:rsidR="009A3728" w:rsidRPr="009A3728" w:rsidRDefault="009A3728" w:rsidP="009A3728">
            <w:pPr>
              <w:spacing w:line="256" w:lineRule="auto"/>
              <w:rPr>
                <w:rFonts w:ascii="Times New Roman" w:hAnsi="Times New Roman" w:cs="Times New Roman"/>
                <w:sz w:val="20"/>
                <w:szCs w:val="20"/>
              </w:rPr>
            </w:pPr>
            <w:r w:rsidRPr="009A3728">
              <w:rPr>
                <w:rFonts w:ascii="Times New Roman" w:hAnsi="Times New Roman" w:cs="Times New Roman"/>
                <w:sz w:val="20"/>
                <w:szCs w:val="20"/>
              </w:rPr>
              <w:t>zaopatrzenie w gaz,</w:t>
            </w:r>
          </w:p>
          <w:p w14:paraId="2BDFE67F" w14:textId="77777777" w:rsidR="004A009C" w:rsidRDefault="009A3728" w:rsidP="009A3728">
            <w:pPr>
              <w:ind w:left="4"/>
              <w:rPr>
                <w:rFonts w:ascii="Times New Roman" w:hAnsi="Times New Roman" w:cs="Times New Roman"/>
                <w:sz w:val="20"/>
                <w:szCs w:val="20"/>
              </w:rPr>
            </w:pPr>
            <w:r w:rsidRPr="009A3728">
              <w:rPr>
                <w:rFonts w:ascii="Times New Roman" w:hAnsi="Times New Roman" w:cs="Times New Roman"/>
                <w:sz w:val="20"/>
                <w:szCs w:val="20"/>
              </w:rPr>
              <w:t>zaopatrzenie w wodę</w:t>
            </w:r>
            <w:r w:rsidR="0051606F">
              <w:rPr>
                <w:rFonts w:ascii="Times New Roman" w:hAnsi="Times New Roman" w:cs="Times New Roman"/>
                <w:sz w:val="20"/>
                <w:szCs w:val="20"/>
              </w:rPr>
              <w:t>,</w:t>
            </w:r>
          </w:p>
          <w:p w14:paraId="2F3B0B88" w14:textId="77777777" w:rsidR="0051606F" w:rsidRDefault="0051606F" w:rsidP="009A3728">
            <w:pPr>
              <w:ind w:left="4"/>
              <w:rPr>
                <w:rFonts w:ascii="Times New Roman" w:hAnsi="Times New Roman" w:cs="Times New Roman"/>
                <w:sz w:val="20"/>
                <w:szCs w:val="20"/>
              </w:rPr>
            </w:pPr>
            <w:r w:rsidRPr="0051606F">
              <w:rPr>
                <w:rFonts w:ascii="Times New Roman" w:hAnsi="Times New Roman" w:cs="Times New Roman"/>
                <w:sz w:val="20"/>
                <w:szCs w:val="20"/>
              </w:rPr>
              <w:t>zaopatrzenie w kanalizację.</w:t>
            </w:r>
          </w:p>
          <w:p w14:paraId="42158638" w14:textId="77777777" w:rsidR="0051606F" w:rsidRDefault="0051606F" w:rsidP="009A3728">
            <w:pPr>
              <w:ind w:left="4"/>
              <w:rPr>
                <w:rFonts w:ascii="Times New Roman" w:hAnsi="Times New Roman" w:cs="Times New Roman"/>
                <w:sz w:val="20"/>
                <w:szCs w:val="20"/>
              </w:rPr>
            </w:pPr>
          </w:p>
          <w:p w14:paraId="6F8FA959" w14:textId="2C4B6CFF" w:rsidR="0051606F" w:rsidRPr="0051606F" w:rsidRDefault="0051606F" w:rsidP="009A3728">
            <w:pPr>
              <w:ind w:left="4"/>
              <w:rPr>
                <w:rFonts w:ascii="Times New Roman" w:hAnsi="Times New Roman" w:cs="Times New Roman"/>
                <w:sz w:val="20"/>
                <w:szCs w:val="20"/>
              </w:rPr>
            </w:pPr>
            <w:r>
              <w:rPr>
                <w:rFonts w:ascii="Times New Roman" w:hAnsi="Times New Roman" w:cs="Times New Roman"/>
                <w:sz w:val="20"/>
                <w:szCs w:val="20"/>
              </w:rPr>
              <w:t xml:space="preserve">Dopuszcza się lokalizację stacji transformatorowych 15/0,4 </w:t>
            </w:r>
            <w:proofErr w:type="spellStart"/>
            <w:r>
              <w:rPr>
                <w:rFonts w:ascii="Times New Roman" w:hAnsi="Times New Roman" w:cs="Times New Roman"/>
                <w:sz w:val="20"/>
                <w:szCs w:val="20"/>
              </w:rPr>
              <w:t>kV</w:t>
            </w:r>
            <w:proofErr w:type="spellEnd"/>
          </w:p>
        </w:tc>
      </w:tr>
      <w:tr w:rsidR="004A009C" w14:paraId="7A2A79C0" w14:textId="77777777">
        <w:trPr>
          <w:trHeight w:val="529"/>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92FDDBA" w14:textId="77777777" w:rsidR="004A009C" w:rsidRDefault="00B365B2">
            <w:r>
              <w:rPr>
                <w:rFonts w:ascii="Times New Roman" w:eastAsia="Times New Roman" w:hAnsi="Times New Roman" w:cs="Times New Roman"/>
                <w:sz w:val="20"/>
              </w:rPr>
              <w:t xml:space="preserve">Ustalenia obowiązującego miejscowego planu zagospodarowania </w:t>
            </w:r>
          </w:p>
          <w:p w14:paraId="5C59FA51" w14:textId="77777777" w:rsidR="004A009C" w:rsidRDefault="00B365B2">
            <w:pPr>
              <w:ind w:right="214"/>
            </w:pPr>
            <w:r>
              <w:rPr>
                <w:rFonts w:ascii="Times New Roman" w:eastAsia="Times New Roman" w:hAnsi="Times New Roman" w:cs="Times New Roman"/>
                <w:sz w:val="20"/>
              </w:rPr>
              <w:t>przestrzennego 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vertAlign w:val="superscript"/>
              </w:rPr>
              <w:footnoteReference w:id="3"/>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02E4D5CA" w14:textId="77777777" w:rsidR="004A009C" w:rsidRDefault="00B365B2">
            <w:pPr>
              <w:ind w:left="2"/>
            </w:pPr>
            <w:r>
              <w:rPr>
                <w:rFonts w:ascii="Times New Roman" w:eastAsia="Times New Roman" w:hAnsi="Times New Roman" w:cs="Times New Roman"/>
                <w:sz w:val="20"/>
              </w:rPr>
              <w:t xml:space="preserve">Przeznaczenie terenu </w:t>
            </w:r>
          </w:p>
        </w:tc>
        <w:tc>
          <w:tcPr>
            <w:tcW w:w="3421" w:type="dxa"/>
            <w:tcBorders>
              <w:top w:val="single" w:sz="4" w:space="0" w:color="000000"/>
              <w:left w:val="single" w:sz="4" w:space="0" w:color="000000"/>
              <w:bottom w:val="single" w:sz="4" w:space="0" w:color="000000"/>
              <w:right w:val="single" w:sz="4" w:space="0" w:color="000000"/>
            </w:tcBorders>
            <w:vAlign w:val="center"/>
          </w:tcPr>
          <w:p w14:paraId="2502BA5D" w14:textId="7FBF1BCD" w:rsidR="004B1EBA" w:rsidRDefault="00B365B2" w:rsidP="004B1EBA">
            <w:pPr>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FB6B3F">
              <w:rPr>
                <w:rFonts w:ascii="Times New Roman" w:eastAsia="Times New Roman" w:hAnsi="Times New Roman" w:cs="Times New Roman"/>
                <w:sz w:val="20"/>
              </w:rPr>
              <w:t xml:space="preserve">Przeznaczenie terenu przy </w:t>
            </w:r>
            <w:r w:rsidR="00D967B0">
              <w:rPr>
                <w:rFonts w:ascii="Times New Roman" w:eastAsia="Times New Roman" w:hAnsi="Times New Roman" w:cs="Times New Roman"/>
                <w:sz w:val="20"/>
              </w:rPr>
              <w:t xml:space="preserve">ul. </w:t>
            </w:r>
            <w:r w:rsidR="00CB73DE">
              <w:rPr>
                <w:rFonts w:ascii="Times New Roman" w:eastAsia="Times New Roman" w:hAnsi="Times New Roman" w:cs="Times New Roman"/>
                <w:sz w:val="20"/>
              </w:rPr>
              <w:t>Weneckiej/Wczasowej 3</w:t>
            </w:r>
            <w:r w:rsidR="00D967B0">
              <w:rPr>
                <w:rFonts w:ascii="Times New Roman" w:eastAsia="Times New Roman" w:hAnsi="Times New Roman" w:cs="Times New Roman"/>
                <w:sz w:val="20"/>
              </w:rPr>
              <w:t xml:space="preserve">, z obrębu </w:t>
            </w:r>
            <w:r w:rsidR="00CB73DE">
              <w:rPr>
                <w:rFonts w:ascii="Times New Roman" w:eastAsia="Times New Roman" w:hAnsi="Times New Roman" w:cs="Times New Roman"/>
                <w:sz w:val="20"/>
              </w:rPr>
              <w:t>01-07</w:t>
            </w:r>
            <w:r w:rsidR="00D967B0">
              <w:rPr>
                <w:rFonts w:ascii="Times New Roman" w:eastAsia="Times New Roman" w:hAnsi="Times New Roman" w:cs="Times New Roman"/>
                <w:sz w:val="20"/>
              </w:rPr>
              <w:t xml:space="preserve"> znajduje się na teren</w:t>
            </w:r>
            <w:r w:rsidR="00CB73DE">
              <w:rPr>
                <w:rFonts w:ascii="Times New Roman" w:eastAsia="Times New Roman" w:hAnsi="Times New Roman" w:cs="Times New Roman"/>
                <w:sz w:val="20"/>
              </w:rPr>
              <w:t>ie</w:t>
            </w:r>
            <w:r w:rsidR="00D967B0">
              <w:rPr>
                <w:rFonts w:ascii="Times New Roman" w:eastAsia="Times New Roman" w:hAnsi="Times New Roman" w:cs="Times New Roman"/>
                <w:sz w:val="20"/>
              </w:rPr>
              <w:t xml:space="preserve"> oznaczony</w:t>
            </w:r>
            <w:r w:rsidR="00CB73DE">
              <w:rPr>
                <w:rFonts w:ascii="Times New Roman" w:eastAsia="Times New Roman" w:hAnsi="Times New Roman" w:cs="Times New Roman"/>
                <w:sz w:val="20"/>
              </w:rPr>
              <w:t>m</w:t>
            </w:r>
            <w:r w:rsidR="00D967B0">
              <w:rPr>
                <w:rFonts w:ascii="Times New Roman" w:eastAsia="Times New Roman" w:hAnsi="Times New Roman" w:cs="Times New Roman"/>
                <w:sz w:val="20"/>
              </w:rPr>
              <w:t xml:space="preserve"> symbol</w:t>
            </w:r>
            <w:r w:rsidR="00CB73DE">
              <w:rPr>
                <w:rFonts w:ascii="Times New Roman" w:eastAsia="Times New Roman" w:hAnsi="Times New Roman" w:cs="Times New Roman"/>
                <w:sz w:val="20"/>
              </w:rPr>
              <w:t>em</w:t>
            </w:r>
            <w:r w:rsidR="00D967B0">
              <w:rPr>
                <w:rFonts w:ascii="Times New Roman" w:eastAsia="Times New Roman" w:hAnsi="Times New Roman" w:cs="Times New Roman"/>
                <w:sz w:val="20"/>
              </w:rPr>
              <w:t xml:space="preserve">: </w:t>
            </w:r>
            <w:r w:rsidR="00CB73DE">
              <w:rPr>
                <w:rFonts w:ascii="Times New Roman" w:eastAsia="Times New Roman" w:hAnsi="Times New Roman" w:cs="Times New Roman"/>
                <w:sz w:val="20"/>
              </w:rPr>
              <w:t>33 MU</w:t>
            </w:r>
            <w:r w:rsidR="00D967B0">
              <w:rPr>
                <w:rFonts w:ascii="Times New Roman" w:eastAsia="Times New Roman" w:hAnsi="Times New Roman" w:cs="Times New Roman"/>
                <w:sz w:val="20"/>
              </w:rPr>
              <w:t xml:space="preserve"> o przeznaczeniu:</w:t>
            </w:r>
            <w:r w:rsidR="004B1EBA">
              <w:rPr>
                <w:rFonts w:ascii="Times New Roman" w:eastAsia="Times New Roman" w:hAnsi="Times New Roman" w:cs="Times New Roman"/>
                <w:sz w:val="20"/>
              </w:rPr>
              <w:t xml:space="preserve"> teren zabudowy mieszkaniowo - usługowej</w:t>
            </w:r>
          </w:p>
          <w:p w14:paraId="1FEA4A20" w14:textId="74B44944" w:rsidR="004A009C" w:rsidRPr="00FB6B3F" w:rsidRDefault="004A009C" w:rsidP="00FB6B3F">
            <w:pPr>
              <w:ind w:left="4"/>
              <w:rPr>
                <w:rFonts w:ascii="Times New Roman" w:eastAsia="Times New Roman" w:hAnsi="Times New Roman" w:cs="Times New Roman"/>
                <w:sz w:val="20"/>
              </w:rPr>
            </w:pPr>
          </w:p>
        </w:tc>
      </w:tr>
      <w:tr w:rsidR="004A009C" w14:paraId="6004D55A" w14:textId="77777777">
        <w:trPr>
          <w:trHeight w:val="758"/>
        </w:trPr>
        <w:tc>
          <w:tcPr>
            <w:tcW w:w="0" w:type="auto"/>
            <w:vMerge/>
            <w:tcBorders>
              <w:top w:val="nil"/>
              <w:left w:val="single" w:sz="4" w:space="0" w:color="000000"/>
              <w:bottom w:val="nil"/>
              <w:right w:val="single" w:sz="4" w:space="0" w:color="000000"/>
            </w:tcBorders>
          </w:tcPr>
          <w:p w14:paraId="4A8DC092"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B218AC3" w14:textId="77777777" w:rsidR="004A009C" w:rsidRDefault="00B365B2">
            <w:pPr>
              <w:ind w:left="2"/>
            </w:pPr>
            <w:r>
              <w:rPr>
                <w:rFonts w:ascii="Times New Roman" w:eastAsia="Times New Roman" w:hAnsi="Times New Roman" w:cs="Times New Roman"/>
                <w:sz w:val="20"/>
              </w:rPr>
              <w:t xml:space="preserve">Maksymalna i minimalna intensywność zabudowy </w:t>
            </w:r>
          </w:p>
        </w:tc>
        <w:tc>
          <w:tcPr>
            <w:tcW w:w="3421" w:type="dxa"/>
            <w:tcBorders>
              <w:top w:val="single" w:sz="4" w:space="0" w:color="000000"/>
              <w:left w:val="single" w:sz="4" w:space="0" w:color="000000"/>
              <w:bottom w:val="single" w:sz="4" w:space="0" w:color="000000"/>
              <w:right w:val="single" w:sz="4" w:space="0" w:color="000000"/>
            </w:tcBorders>
          </w:tcPr>
          <w:p w14:paraId="10D53FFF" w14:textId="2B84362F" w:rsidR="004A009C" w:rsidRDefault="00B365B2">
            <w:pPr>
              <w:ind w:left="4"/>
            </w:pPr>
            <w:r>
              <w:rPr>
                <w:rFonts w:ascii="Times New Roman" w:eastAsia="Times New Roman" w:hAnsi="Times New Roman" w:cs="Times New Roman"/>
                <w:sz w:val="20"/>
              </w:rPr>
              <w:t xml:space="preserve"> </w:t>
            </w:r>
          </w:p>
        </w:tc>
      </w:tr>
      <w:tr w:rsidR="004A009C" w14:paraId="3602F8F7" w14:textId="77777777">
        <w:trPr>
          <w:trHeight w:val="528"/>
        </w:trPr>
        <w:tc>
          <w:tcPr>
            <w:tcW w:w="0" w:type="auto"/>
            <w:vMerge/>
            <w:tcBorders>
              <w:top w:val="nil"/>
              <w:left w:val="single" w:sz="4" w:space="0" w:color="000000"/>
              <w:bottom w:val="nil"/>
              <w:right w:val="single" w:sz="4" w:space="0" w:color="000000"/>
            </w:tcBorders>
          </w:tcPr>
          <w:p w14:paraId="3479D4FB"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0EC819E" w14:textId="77777777" w:rsidR="004A009C" w:rsidRDefault="00B365B2">
            <w:pPr>
              <w:ind w:left="2"/>
            </w:pPr>
            <w:r>
              <w:rPr>
                <w:rFonts w:ascii="Times New Roman" w:eastAsia="Times New Roman" w:hAnsi="Times New Roman" w:cs="Times New Roman"/>
                <w:sz w:val="20"/>
              </w:rPr>
              <w:t xml:space="preserve">Maksymalna wysokość zabudowy </w:t>
            </w:r>
          </w:p>
        </w:tc>
        <w:tc>
          <w:tcPr>
            <w:tcW w:w="3421" w:type="dxa"/>
            <w:tcBorders>
              <w:top w:val="single" w:sz="4" w:space="0" w:color="000000"/>
              <w:left w:val="single" w:sz="4" w:space="0" w:color="000000"/>
              <w:bottom w:val="single" w:sz="4" w:space="0" w:color="000000"/>
              <w:right w:val="single" w:sz="4" w:space="0" w:color="000000"/>
            </w:tcBorders>
            <w:vAlign w:val="center"/>
          </w:tcPr>
          <w:p w14:paraId="77BBBE36" w14:textId="77777777" w:rsidR="004A009C" w:rsidRDefault="004B1EBA" w:rsidP="006C3E4C">
            <w:pPr>
              <w:rPr>
                <w:rFonts w:ascii="Times New Roman" w:eastAsia="Times New Roman" w:hAnsi="Times New Roman" w:cs="Times New Roman"/>
                <w:sz w:val="20"/>
              </w:rPr>
            </w:pPr>
            <w:r>
              <w:rPr>
                <w:rFonts w:ascii="Times New Roman" w:eastAsia="Times New Roman" w:hAnsi="Times New Roman" w:cs="Times New Roman"/>
                <w:sz w:val="20"/>
              </w:rPr>
              <w:t>Dla zabudowy mieszkaniowej: do trzech kondygnacji naziemnych to jest parter, piętro i mieszkalne poddasze;</w:t>
            </w:r>
          </w:p>
          <w:p w14:paraId="4C355B78" w14:textId="2F89D13C" w:rsidR="004B1EBA" w:rsidRPr="004B1EBA" w:rsidRDefault="004B1EBA" w:rsidP="006C3E4C">
            <w:pPr>
              <w:rPr>
                <w:rFonts w:ascii="Times New Roman" w:hAnsi="Times New Roman" w:cs="Times New Roman"/>
                <w:sz w:val="20"/>
                <w:szCs w:val="20"/>
              </w:rPr>
            </w:pPr>
            <w:r w:rsidRPr="004B1EBA">
              <w:rPr>
                <w:rFonts w:ascii="Times New Roman" w:hAnsi="Times New Roman" w:cs="Times New Roman"/>
                <w:sz w:val="20"/>
                <w:szCs w:val="20"/>
              </w:rPr>
              <w:t>Dla zabudowy usługowej: do dwóch kondygnacji naziemnych.</w:t>
            </w:r>
          </w:p>
        </w:tc>
      </w:tr>
      <w:tr w:rsidR="004A009C" w14:paraId="281FF96E" w14:textId="77777777">
        <w:trPr>
          <w:trHeight w:val="758"/>
        </w:trPr>
        <w:tc>
          <w:tcPr>
            <w:tcW w:w="0" w:type="auto"/>
            <w:vMerge/>
            <w:tcBorders>
              <w:top w:val="nil"/>
              <w:left w:val="single" w:sz="4" w:space="0" w:color="000000"/>
              <w:bottom w:val="nil"/>
              <w:right w:val="single" w:sz="4" w:space="0" w:color="000000"/>
            </w:tcBorders>
          </w:tcPr>
          <w:p w14:paraId="2B15E49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01EE3112" w14:textId="77777777" w:rsidR="004A009C" w:rsidRDefault="00B365B2">
            <w:pPr>
              <w:ind w:left="2"/>
              <w:jc w:val="both"/>
            </w:pPr>
            <w:r>
              <w:rPr>
                <w:rFonts w:ascii="Times New Roman" w:eastAsia="Times New Roman" w:hAnsi="Times New Roman" w:cs="Times New Roman"/>
                <w:sz w:val="20"/>
              </w:rPr>
              <w:t xml:space="preserve">Minimalny udział procentowy powierzchni biologicznie czynnej </w:t>
            </w:r>
          </w:p>
        </w:tc>
        <w:tc>
          <w:tcPr>
            <w:tcW w:w="3421" w:type="dxa"/>
            <w:tcBorders>
              <w:top w:val="single" w:sz="4" w:space="0" w:color="000000"/>
              <w:left w:val="single" w:sz="4" w:space="0" w:color="000000"/>
              <w:bottom w:val="single" w:sz="4" w:space="0" w:color="000000"/>
              <w:right w:val="single" w:sz="4" w:space="0" w:color="000000"/>
            </w:tcBorders>
          </w:tcPr>
          <w:p w14:paraId="29DD4154" w14:textId="342C471F" w:rsidR="004A009C" w:rsidRDefault="004B1EBA" w:rsidP="006C3E4C">
            <w:r>
              <w:rPr>
                <w:rFonts w:ascii="Times New Roman" w:eastAsia="Times New Roman" w:hAnsi="Times New Roman" w:cs="Times New Roman"/>
                <w:sz w:val="20"/>
              </w:rPr>
              <w:t>Minimum 5</w:t>
            </w:r>
            <w:r w:rsidR="00D967B0">
              <w:rPr>
                <w:rFonts w:ascii="Times New Roman" w:eastAsia="Times New Roman" w:hAnsi="Times New Roman" w:cs="Times New Roman"/>
                <w:sz w:val="20"/>
              </w:rPr>
              <w:t>0%</w:t>
            </w:r>
            <w:r>
              <w:rPr>
                <w:rFonts w:ascii="Times New Roman" w:eastAsia="Times New Roman" w:hAnsi="Times New Roman" w:cs="Times New Roman"/>
                <w:sz w:val="20"/>
              </w:rPr>
              <w:t xml:space="preserve"> dla każdej działki inwestycyjnej przy czym na działkach nr 61,63,64,68,71,77,79,81,83,84,85,89,91,92,94,95, w obrębie 01-07 minimum 80 % dla każdej działki inwestycyjnej</w:t>
            </w:r>
          </w:p>
        </w:tc>
      </w:tr>
      <w:tr w:rsidR="004A009C" w14:paraId="3A28F8D4" w14:textId="77777777">
        <w:trPr>
          <w:trHeight w:val="528"/>
        </w:trPr>
        <w:tc>
          <w:tcPr>
            <w:tcW w:w="0" w:type="auto"/>
            <w:vMerge/>
            <w:tcBorders>
              <w:top w:val="nil"/>
              <w:left w:val="single" w:sz="4" w:space="0" w:color="000000"/>
              <w:bottom w:val="single" w:sz="4" w:space="0" w:color="000000"/>
              <w:right w:val="single" w:sz="4" w:space="0" w:color="000000"/>
            </w:tcBorders>
          </w:tcPr>
          <w:p w14:paraId="6DB0A722"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D08A9B5" w14:textId="77777777" w:rsidR="004A009C" w:rsidRDefault="00B365B2">
            <w:pPr>
              <w:ind w:left="2"/>
            </w:pPr>
            <w:r>
              <w:rPr>
                <w:rFonts w:ascii="Times New Roman" w:eastAsia="Times New Roman" w:hAnsi="Times New Roman" w:cs="Times New Roman"/>
                <w:sz w:val="20"/>
              </w:rPr>
              <w:t xml:space="preserve">Minimalna liczba miejsc do parkowania </w:t>
            </w:r>
          </w:p>
        </w:tc>
        <w:tc>
          <w:tcPr>
            <w:tcW w:w="3421" w:type="dxa"/>
            <w:tcBorders>
              <w:top w:val="single" w:sz="4" w:space="0" w:color="000000"/>
              <w:left w:val="single" w:sz="4" w:space="0" w:color="000000"/>
              <w:bottom w:val="single" w:sz="4" w:space="0" w:color="000000"/>
              <w:right w:val="single" w:sz="4" w:space="0" w:color="000000"/>
            </w:tcBorders>
            <w:vAlign w:val="center"/>
          </w:tcPr>
          <w:p w14:paraId="40633D06" w14:textId="00EC1455" w:rsidR="004A009C" w:rsidRDefault="004B1EBA">
            <w:pPr>
              <w:ind w:left="4"/>
            </w:pPr>
            <w:r>
              <w:rPr>
                <w:rFonts w:ascii="Times New Roman" w:eastAsia="Times New Roman" w:hAnsi="Times New Roman" w:cs="Times New Roman"/>
                <w:sz w:val="20"/>
              </w:rPr>
              <w:t>Według miejscowego planu zagospodarowania</w:t>
            </w:r>
          </w:p>
        </w:tc>
      </w:tr>
      <w:tr w:rsidR="004A009C" w14:paraId="3F489051" w14:textId="77777777">
        <w:trPr>
          <w:trHeight w:val="1697"/>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0DEBB33" w14:textId="77777777" w:rsidR="004A009C" w:rsidRDefault="00B365B2">
            <w:pPr>
              <w:ind w:right="188"/>
            </w:pPr>
            <w:r>
              <w:rPr>
                <w:rFonts w:ascii="Times New Roman" w:eastAsia="Times New Roman" w:hAnsi="Times New Roman" w:cs="Times New Roman"/>
                <w:sz w:val="20"/>
              </w:rPr>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419" w:type="dxa"/>
            <w:tcBorders>
              <w:top w:val="single" w:sz="4" w:space="0" w:color="000000"/>
              <w:left w:val="single" w:sz="4" w:space="0" w:color="000000"/>
              <w:bottom w:val="single" w:sz="4" w:space="0" w:color="000000"/>
              <w:right w:val="single" w:sz="4" w:space="0" w:color="000000"/>
            </w:tcBorders>
          </w:tcPr>
          <w:p w14:paraId="0BC079BC" w14:textId="77777777" w:rsidR="004A009C" w:rsidRDefault="00B365B2">
            <w:pPr>
              <w:spacing w:after="126"/>
              <w:ind w:left="2"/>
            </w:pPr>
            <w:r>
              <w:rPr>
                <w:rFonts w:ascii="Times New Roman" w:eastAsia="Times New Roman" w:hAnsi="Times New Roman" w:cs="Times New Roman"/>
                <w:sz w:val="20"/>
              </w:rPr>
              <w:t xml:space="preserve"> </w:t>
            </w:r>
          </w:p>
          <w:p w14:paraId="720ACB7B" w14:textId="77777777" w:rsidR="004A009C" w:rsidRDefault="00B365B2">
            <w:pPr>
              <w:spacing w:after="123"/>
              <w:ind w:left="2"/>
            </w:pPr>
            <w:r>
              <w:rPr>
                <w:rFonts w:ascii="Times New Roman" w:eastAsia="Times New Roman" w:hAnsi="Times New Roman" w:cs="Times New Roman"/>
                <w:sz w:val="20"/>
              </w:rPr>
              <w:t xml:space="preserve"> </w:t>
            </w:r>
          </w:p>
          <w:p w14:paraId="232D11A4" w14:textId="77777777" w:rsidR="004A009C" w:rsidRDefault="00B365B2">
            <w:pPr>
              <w:ind w:left="2"/>
            </w:pPr>
            <w:r>
              <w:rPr>
                <w:rFonts w:ascii="Times New Roman" w:eastAsia="Times New Roman" w:hAnsi="Times New Roman" w:cs="Times New Roman"/>
                <w:sz w:val="20"/>
              </w:rPr>
              <w:t xml:space="preserve">Funkcja zabudowy i zagospodarowania terenu </w:t>
            </w:r>
          </w:p>
        </w:tc>
        <w:tc>
          <w:tcPr>
            <w:tcW w:w="3421" w:type="dxa"/>
            <w:tcBorders>
              <w:top w:val="single" w:sz="4" w:space="0" w:color="000000"/>
              <w:left w:val="single" w:sz="4" w:space="0" w:color="000000"/>
              <w:bottom w:val="single" w:sz="4" w:space="0" w:color="000000"/>
              <w:right w:val="single" w:sz="4" w:space="0" w:color="000000"/>
            </w:tcBorders>
          </w:tcPr>
          <w:p w14:paraId="492C305F" w14:textId="269A869F" w:rsidR="004A009C" w:rsidRPr="00FB6B3F" w:rsidRDefault="006C3E4C">
            <w:pPr>
              <w:ind w:left="4"/>
              <w:jc w:val="both"/>
              <w:rPr>
                <w:sz w:val="20"/>
                <w:szCs w:val="20"/>
              </w:rPr>
            </w:pPr>
            <w:r w:rsidRPr="00FB6B3F">
              <w:rPr>
                <w:rFonts w:ascii="Times New Roman" w:eastAsia="Times New Roman" w:hAnsi="Times New Roman" w:cs="Times New Roman"/>
                <w:sz w:val="20"/>
                <w:szCs w:val="20"/>
              </w:rPr>
              <w:t>Nie dotyczy</w:t>
            </w:r>
          </w:p>
        </w:tc>
      </w:tr>
      <w:tr w:rsidR="004A009C" w14:paraId="6661D653" w14:textId="77777777">
        <w:trPr>
          <w:trHeight w:val="528"/>
        </w:trPr>
        <w:tc>
          <w:tcPr>
            <w:tcW w:w="0" w:type="auto"/>
            <w:vMerge/>
            <w:tcBorders>
              <w:top w:val="nil"/>
              <w:left w:val="single" w:sz="4" w:space="0" w:color="000000"/>
              <w:bottom w:val="nil"/>
              <w:right w:val="single" w:sz="4" w:space="0" w:color="000000"/>
            </w:tcBorders>
          </w:tcPr>
          <w:p w14:paraId="5DD54B2A" w14:textId="77777777" w:rsidR="004A009C" w:rsidRDefault="004A009C"/>
        </w:tc>
        <w:tc>
          <w:tcPr>
            <w:tcW w:w="6840" w:type="dxa"/>
            <w:gridSpan w:val="2"/>
            <w:tcBorders>
              <w:top w:val="single" w:sz="4" w:space="0" w:color="000000"/>
              <w:left w:val="single" w:sz="4" w:space="0" w:color="000000"/>
              <w:bottom w:val="single" w:sz="4" w:space="0" w:color="000000"/>
              <w:right w:val="single" w:sz="4" w:space="0" w:color="000000"/>
            </w:tcBorders>
            <w:vAlign w:val="center"/>
          </w:tcPr>
          <w:p w14:paraId="5AB17EFF" w14:textId="77777777" w:rsidR="004A009C" w:rsidRDefault="00B365B2">
            <w:pPr>
              <w:ind w:left="2"/>
            </w:pPr>
            <w:r>
              <w:rPr>
                <w:rFonts w:ascii="Times New Roman" w:eastAsia="Times New Roman" w:hAnsi="Times New Roman" w:cs="Times New Roman"/>
                <w:sz w:val="20"/>
              </w:rPr>
              <w:t xml:space="preserve">Cechy zabudowy i zagospodarowania terenu: </w:t>
            </w:r>
          </w:p>
        </w:tc>
      </w:tr>
      <w:tr w:rsidR="004A009C" w14:paraId="027DCFB7" w14:textId="77777777">
        <w:trPr>
          <w:trHeight w:val="528"/>
        </w:trPr>
        <w:tc>
          <w:tcPr>
            <w:tcW w:w="0" w:type="auto"/>
            <w:vMerge/>
            <w:tcBorders>
              <w:top w:val="nil"/>
              <w:left w:val="single" w:sz="4" w:space="0" w:color="000000"/>
              <w:bottom w:val="nil"/>
              <w:right w:val="single" w:sz="4" w:space="0" w:color="000000"/>
            </w:tcBorders>
          </w:tcPr>
          <w:p w14:paraId="5268184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E7730E1" w14:textId="77777777" w:rsidR="004A009C" w:rsidRDefault="00B365B2">
            <w:pPr>
              <w:ind w:left="2"/>
            </w:pPr>
            <w:r>
              <w:rPr>
                <w:rFonts w:ascii="Times New Roman" w:eastAsia="Times New Roman" w:hAnsi="Times New Roman" w:cs="Times New Roman"/>
                <w:sz w:val="20"/>
              </w:rPr>
              <w:t xml:space="preserve">gabaryty </w:t>
            </w:r>
          </w:p>
        </w:tc>
        <w:tc>
          <w:tcPr>
            <w:tcW w:w="3421" w:type="dxa"/>
            <w:tcBorders>
              <w:top w:val="single" w:sz="4" w:space="0" w:color="000000"/>
              <w:left w:val="single" w:sz="4" w:space="0" w:color="000000"/>
              <w:bottom w:val="single" w:sz="4" w:space="0" w:color="000000"/>
              <w:right w:val="single" w:sz="4" w:space="0" w:color="000000"/>
            </w:tcBorders>
            <w:vAlign w:val="center"/>
          </w:tcPr>
          <w:p w14:paraId="3D9B1B94" w14:textId="665F497F" w:rsidR="004A009C" w:rsidRPr="00FB6B3F" w:rsidRDefault="00B365B2">
            <w:pPr>
              <w:ind w:left="4"/>
              <w:rPr>
                <w:sz w:val="20"/>
                <w:szCs w:val="20"/>
              </w:rPr>
            </w:pPr>
            <w:r>
              <w:rPr>
                <w:rFonts w:ascii="Times New Roman" w:eastAsia="Times New Roman" w:hAnsi="Times New Roman" w:cs="Times New Roman"/>
                <w:sz w:val="20"/>
              </w:rPr>
              <w:t xml:space="preserve"> </w:t>
            </w:r>
            <w:r w:rsidR="006C3E4C" w:rsidRPr="00FB6B3F">
              <w:rPr>
                <w:rFonts w:ascii="Times New Roman" w:eastAsia="Times New Roman" w:hAnsi="Times New Roman" w:cs="Times New Roman"/>
                <w:sz w:val="20"/>
                <w:szCs w:val="20"/>
              </w:rPr>
              <w:t>Nie dotyczy</w:t>
            </w:r>
          </w:p>
        </w:tc>
      </w:tr>
      <w:tr w:rsidR="004A009C" w14:paraId="14EDF298" w14:textId="77777777">
        <w:trPr>
          <w:trHeight w:val="528"/>
        </w:trPr>
        <w:tc>
          <w:tcPr>
            <w:tcW w:w="0" w:type="auto"/>
            <w:vMerge/>
            <w:tcBorders>
              <w:top w:val="nil"/>
              <w:left w:val="single" w:sz="4" w:space="0" w:color="000000"/>
              <w:bottom w:val="nil"/>
              <w:right w:val="single" w:sz="4" w:space="0" w:color="000000"/>
            </w:tcBorders>
          </w:tcPr>
          <w:p w14:paraId="2F9655E1"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5696DA3" w14:textId="77777777" w:rsidR="004A009C" w:rsidRDefault="00B365B2">
            <w:pPr>
              <w:ind w:left="2"/>
            </w:pPr>
            <w:r>
              <w:rPr>
                <w:rFonts w:ascii="Times New Roman" w:eastAsia="Times New Roman" w:hAnsi="Times New Roman" w:cs="Times New Roman"/>
                <w:sz w:val="20"/>
              </w:rPr>
              <w:t xml:space="preserve">forma architektoniczna </w:t>
            </w:r>
          </w:p>
        </w:tc>
        <w:tc>
          <w:tcPr>
            <w:tcW w:w="3421" w:type="dxa"/>
            <w:tcBorders>
              <w:top w:val="single" w:sz="4" w:space="0" w:color="000000"/>
              <w:left w:val="single" w:sz="4" w:space="0" w:color="000000"/>
              <w:bottom w:val="single" w:sz="4" w:space="0" w:color="000000"/>
              <w:right w:val="single" w:sz="4" w:space="0" w:color="000000"/>
            </w:tcBorders>
            <w:vAlign w:val="center"/>
          </w:tcPr>
          <w:p w14:paraId="289FC8FA" w14:textId="456FAEEB" w:rsidR="004A009C" w:rsidRPr="00FB6B3F" w:rsidRDefault="00B365B2">
            <w:pPr>
              <w:ind w:left="4"/>
              <w:rPr>
                <w:sz w:val="20"/>
                <w:szCs w:val="20"/>
              </w:rPr>
            </w:pPr>
            <w:r>
              <w:rPr>
                <w:rFonts w:ascii="Times New Roman" w:eastAsia="Times New Roman" w:hAnsi="Times New Roman" w:cs="Times New Roman"/>
                <w:sz w:val="20"/>
              </w:rPr>
              <w:t xml:space="preserve"> </w:t>
            </w:r>
            <w:r w:rsidR="006C3E4C" w:rsidRPr="00FB6B3F">
              <w:rPr>
                <w:rFonts w:ascii="Times New Roman" w:eastAsia="Times New Roman" w:hAnsi="Times New Roman" w:cs="Times New Roman"/>
                <w:sz w:val="20"/>
                <w:szCs w:val="20"/>
              </w:rPr>
              <w:t>Nie dotyczy</w:t>
            </w:r>
          </w:p>
        </w:tc>
      </w:tr>
      <w:tr w:rsidR="004A009C" w14:paraId="1E642AC9" w14:textId="77777777">
        <w:trPr>
          <w:trHeight w:val="528"/>
        </w:trPr>
        <w:tc>
          <w:tcPr>
            <w:tcW w:w="0" w:type="auto"/>
            <w:vMerge/>
            <w:tcBorders>
              <w:top w:val="nil"/>
              <w:left w:val="single" w:sz="4" w:space="0" w:color="000000"/>
              <w:bottom w:val="nil"/>
              <w:right w:val="single" w:sz="4" w:space="0" w:color="000000"/>
            </w:tcBorders>
          </w:tcPr>
          <w:p w14:paraId="0780678C"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64110D6B" w14:textId="77777777" w:rsidR="004A009C" w:rsidRDefault="00B365B2">
            <w:pPr>
              <w:ind w:left="2"/>
            </w:pPr>
            <w:r>
              <w:rPr>
                <w:rFonts w:ascii="Times New Roman" w:eastAsia="Times New Roman" w:hAnsi="Times New Roman" w:cs="Times New Roman"/>
                <w:sz w:val="20"/>
              </w:rPr>
              <w:t xml:space="preserve">usytuowanie linii zabudowy </w:t>
            </w:r>
          </w:p>
        </w:tc>
        <w:tc>
          <w:tcPr>
            <w:tcW w:w="3421" w:type="dxa"/>
            <w:tcBorders>
              <w:top w:val="single" w:sz="4" w:space="0" w:color="000000"/>
              <w:left w:val="single" w:sz="4" w:space="0" w:color="000000"/>
              <w:bottom w:val="single" w:sz="4" w:space="0" w:color="000000"/>
              <w:right w:val="single" w:sz="4" w:space="0" w:color="000000"/>
            </w:tcBorders>
            <w:vAlign w:val="center"/>
          </w:tcPr>
          <w:p w14:paraId="7D3CBE79" w14:textId="51EFB494" w:rsidR="004A009C" w:rsidRPr="00FB6B3F" w:rsidRDefault="00B365B2">
            <w:pPr>
              <w:ind w:left="4"/>
              <w:rPr>
                <w:sz w:val="20"/>
                <w:szCs w:val="20"/>
              </w:rPr>
            </w:pPr>
            <w:r>
              <w:rPr>
                <w:rFonts w:ascii="Times New Roman" w:eastAsia="Times New Roman" w:hAnsi="Times New Roman" w:cs="Times New Roman"/>
                <w:sz w:val="20"/>
              </w:rPr>
              <w:t xml:space="preserve"> </w:t>
            </w:r>
            <w:r w:rsidR="006C3E4C" w:rsidRPr="00FB6B3F">
              <w:rPr>
                <w:rFonts w:ascii="Times New Roman" w:eastAsia="Times New Roman" w:hAnsi="Times New Roman" w:cs="Times New Roman"/>
                <w:sz w:val="20"/>
                <w:szCs w:val="20"/>
              </w:rPr>
              <w:t>Nie dotyczy</w:t>
            </w:r>
          </w:p>
        </w:tc>
      </w:tr>
      <w:tr w:rsidR="004A009C" w14:paraId="1C77A991" w14:textId="77777777">
        <w:trPr>
          <w:trHeight w:val="529"/>
        </w:trPr>
        <w:tc>
          <w:tcPr>
            <w:tcW w:w="0" w:type="auto"/>
            <w:vMerge/>
            <w:tcBorders>
              <w:top w:val="nil"/>
              <w:left w:val="single" w:sz="4" w:space="0" w:color="000000"/>
              <w:bottom w:val="nil"/>
              <w:right w:val="single" w:sz="4" w:space="0" w:color="000000"/>
            </w:tcBorders>
          </w:tcPr>
          <w:p w14:paraId="03CA1A32"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B5B93FA" w14:textId="77777777" w:rsidR="004A009C" w:rsidRDefault="00B365B2">
            <w:pPr>
              <w:ind w:left="2"/>
            </w:pPr>
            <w:r>
              <w:rPr>
                <w:rFonts w:ascii="Times New Roman" w:eastAsia="Times New Roman" w:hAnsi="Times New Roman" w:cs="Times New Roman"/>
                <w:sz w:val="20"/>
              </w:rPr>
              <w:t xml:space="preserve">intensywność wykorzystania terenu </w:t>
            </w:r>
          </w:p>
        </w:tc>
        <w:tc>
          <w:tcPr>
            <w:tcW w:w="3421" w:type="dxa"/>
            <w:tcBorders>
              <w:top w:val="single" w:sz="4" w:space="0" w:color="000000"/>
              <w:left w:val="single" w:sz="4" w:space="0" w:color="000000"/>
              <w:bottom w:val="single" w:sz="4" w:space="0" w:color="000000"/>
              <w:right w:val="single" w:sz="4" w:space="0" w:color="000000"/>
            </w:tcBorders>
            <w:vAlign w:val="center"/>
          </w:tcPr>
          <w:p w14:paraId="0348D748" w14:textId="4FE8450D" w:rsidR="004A009C" w:rsidRPr="00FB6B3F" w:rsidRDefault="006C3E4C">
            <w:pPr>
              <w:ind w:left="4"/>
              <w:rPr>
                <w:sz w:val="20"/>
                <w:szCs w:val="20"/>
              </w:rPr>
            </w:pPr>
            <w:r w:rsidRPr="00FB6B3F">
              <w:rPr>
                <w:rFonts w:ascii="Times New Roman" w:eastAsia="Times New Roman" w:hAnsi="Times New Roman" w:cs="Times New Roman"/>
                <w:sz w:val="20"/>
                <w:szCs w:val="20"/>
              </w:rPr>
              <w:t>Nie dotyczy</w:t>
            </w:r>
          </w:p>
        </w:tc>
      </w:tr>
      <w:tr w:rsidR="004A009C" w14:paraId="2A1036C9" w14:textId="77777777">
        <w:trPr>
          <w:trHeight w:val="758"/>
        </w:trPr>
        <w:tc>
          <w:tcPr>
            <w:tcW w:w="0" w:type="auto"/>
            <w:vMerge/>
            <w:tcBorders>
              <w:top w:val="nil"/>
              <w:left w:val="single" w:sz="4" w:space="0" w:color="000000"/>
              <w:bottom w:val="nil"/>
              <w:right w:val="single" w:sz="4" w:space="0" w:color="000000"/>
            </w:tcBorders>
          </w:tcPr>
          <w:p w14:paraId="35B0F34D"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6072905C" w14:textId="77777777" w:rsidR="004A009C" w:rsidRDefault="00B365B2">
            <w:pPr>
              <w:ind w:left="2"/>
              <w:jc w:val="both"/>
            </w:pPr>
            <w:r>
              <w:rPr>
                <w:rFonts w:ascii="Times New Roman" w:eastAsia="Times New Roman" w:hAnsi="Times New Roman" w:cs="Times New Roman"/>
                <w:sz w:val="20"/>
              </w:rPr>
              <w:t xml:space="preserve">warunki ochrony środowiska i zdrowia ludzi, przyrody i krajobrazu </w:t>
            </w:r>
          </w:p>
        </w:tc>
        <w:tc>
          <w:tcPr>
            <w:tcW w:w="3421" w:type="dxa"/>
            <w:tcBorders>
              <w:top w:val="single" w:sz="4" w:space="0" w:color="000000"/>
              <w:left w:val="single" w:sz="4" w:space="0" w:color="000000"/>
              <w:bottom w:val="single" w:sz="4" w:space="0" w:color="000000"/>
              <w:right w:val="single" w:sz="4" w:space="0" w:color="000000"/>
            </w:tcBorders>
          </w:tcPr>
          <w:p w14:paraId="26190CE3" w14:textId="34A58241" w:rsidR="006D1B0A" w:rsidRPr="00FB6B3F" w:rsidRDefault="006C3E4C" w:rsidP="00390B4C">
            <w:pPr>
              <w:ind w:left="4"/>
              <w:rPr>
                <w:rFonts w:ascii="Times New Roman" w:hAnsi="Times New Roman" w:cs="Times New Roman"/>
                <w:sz w:val="20"/>
                <w:szCs w:val="20"/>
              </w:rPr>
            </w:pPr>
            <w:r w:rsidRPr="00FB6B3F">
              <w:rPr>
                <w:rFonts w:ascii="Times New Roman" w:eastAsia="Times New Roman" w:hAnsi="Times New Roman" w:cs="Times New Roman"/>
                <w:sz w:val="20"/>
                <w:szCs w:val="20"/>
              </w:rPr>
              <w:t>Nie dotyczy</w:t>
            </w:r>
          </w:p>
        </w:tc>
      </w:tr>
      <w:tr w:rsidR="004A009C" w14:paraId="0841C00A" w14:textId="77777777">
        <w:trPr>
          <w:trHeight w:val="1216"/>
        </w:trPr>
        <w:tc>
          <w:tcPr>
            <w:tcW w:w="0" w:type="auto"/>
            <w:vMerge/>
            <w:tcBorders>
              <w:top w:val="nil"/>
              <w:left w:val="single" w:sz="4" w:space="0" w:color="000000"/>
              <w:bottom w:val="single" w:sz="4" w:space="0" w:color="000000"/>
              <w:right w:val="single" w:sz="4" w:space="0" w:color="000000"/>
            </w:tcBorders>
          </w:tcPr>
          <w:p w14:paraId="4B127A16"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EE27942" w14:textId="7DC7320E" w:rsidR="004A009C" w:rsidRDefault="00B365B2">
            <w:pPr>
              <w:ind w:left="2" w:right="46"/>
              <w:jc w:val="both"/>
            </w:pPr>
            <w:r>
              <w:rPr>
                <w:rFonts w:ascii="Times New Roman" w:eastAsia="Times New Roman" w:hAnsi="Times New Roman" w:cs="Times New Roman"/>
                <w:sz w:val="20"/>
              </w:rPr>
              <w:t xml:space="preserve">wymagania dotyczące zabudowy i zagospodarowania terenu położonego na obszarach szczególnego zagrożenia powodzią </w:t>
            </w:r>
          </w:p>
        </w:tc>
        <w:tc>
          <w:tcPr>
            <w:tcW w:w="3421" w:type="dxa"/>
            <w:tcBorders>
              <w:top w:val="single" w:sz="4" w:space="0" w:color="000000"/>
              <w:left w:val="single" w:sz="4" w:space="0" w:color="000000"/>
              <w:bottom w:val="single" w:sz="4" w:space="0" w:color="000000"/>
              <w:right w:val="single" w:sz="4" w:space="0" w:color="000000"/>
            </w:tcBorders>
          </w:tcPr>
          <w:p w14:paraId="4AE346CB" w14:textId="77777777" w:rsidR="00E65546" w:rsidRDefault="00E65546" w:rsidP="00E65546">
            <w:pPr>
              <w:ind w:left="4"/>
              <w:jc w:val="center"/>
              <w:rPr>
                <w:rFonts w:ascii="Times New Roman" w:eastAsia="Times New Roman" w:hAnsi="Times New Roman" w:cs="Times New Roman"/>
                <w:sz w:val="20"/>
              </w:rPr>
            </w:pPr>
          </w:p>
          <w:p w14:paraId="71529597" w14:textId="018CC043" w:rsidR="004A009C" w:rsidRPr="00FB6B3F" w:rsidRDefault="006C3E4C" w:rsidP="006C3E4C">
            <w:pPr>
              <w:ind w:left="4"/>
              <w:rPr>
                <w:sz w:val="20"/>
                <w:szCs w:val="20"/>
              </w:rPr>
            </w:pPr>
            <w:r w:rsidRPr="00FB6B3F">
              <w:rPr>
                <w:rFonts w:ascii="Times New Roman" w:eastAsia="Times New Roman" w:hAnsi="Times New Roman" w:cs="Times New Roman"/>
                <w:sz w:val="20"/>
                <w:szCs w:val="20"/>
              </w:rPr>
              <w:t>Nie dotyczy</w:t>
            </w:r>
          </w:p>
        </w:tc>
      </w:tr>
    </w:tbl>
    <w:p w14:paraId="5D70EE9D" w14:textId="77777777" w:rsidR="004A009C" w:rsidRDefault="004A009C">
      <w:pPr>
        <w:spacing w:after="0"/>
        <w:ind w:left="-1020" w:right="108"/>
      </w:pPr>
    </w:p>
    <w:tbl>
      <w:tblPr>
        <w:tblStyle w:val="TableGrid"/>
        <w:tblW w:w="9649" w:type="dxa"/>
        <w:tblInd w:w="109" w:type="dxa"/>
        <w:tblCellMar>
          <w:top w:w="59" w:type="dxa"/>
          <w:left w:w="107" w:type="dxa"/>
          <w:right w:w="56" w:type="dxa"/>
        </w:tblCellMar>
        <w:tblLook w:val="04A0" w:firstRow="1" w:lastRow="0" w:firstColumn="1" w:lastColumn="0" w:noHBand="0" w:noVBand="1"/>
      </w:tblPr>
      <w:tblGrid>
        <w:gridCol w:w="2809"/>
        <w:gridCol w:w="3419"/>
        <w:gridCol w:w="3421"/>
      </w:tblGrid>
      <w:tr w:rsidR="004A009C" w14:paraId="5F28926A" w14:textId="77777777">
        <w:trPr>
          <w:trHeight w:val="988"/>
        </w:trPr>
        <w:tc>
          <w:tcPr>
            <w:tcW w:w="2809" w:type="dxa"/>
            <w:vMerge w:val="restart"/>
            <w:tcBorders>
              <w:top w:val="single" w:sz="4" w:space="0" w:color="000000"/>
              <w:left w:val="single" w:sz="4" w:space="0" w:color="000000"/>
              <w:bottom w:val="nil"/>
              <w:right w:val="single" w:sz="4" w:space="0" w:color="000000"/>
            </w:tcBorders>
            <w:shd w:val="clear" w:color="auto" w:fill="F3F3F3"/>
          </w:tcPr>
          <w:p w14:paraId="507ED29A"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C62486C" w14:textId="77777777" w:rsidR="004A009C" w:rsidRDefault="00B365B2">
            <w:pPr>
              <w:ind w:left="2" w:right="51"/>
              <w:jc w:val="both"/>
            </w:pPr>
            <w:r>
              <w:rPr>
                <w:rFonts w:ascii="Times New Roman" w:eastAsia="Times New Roman" w:hAnsi="Times New Roman" w:cs="Times New Roman"/>
                <w:sz w:val="20"/>
              </w:rPr>
              <w:t xml:space="preserve">warunki ochrony dziedzictwa kulturowego i zabytków oraz dóbr kultury współczesnej </w:t>
            </w:r>
          </w:p>
        </w:tc>
        <w:tc>
          <w:tcPr>
            <w:tcW w:w="3421" w:type="dxa"/>
            <w:tcBorders>
              <w:top w:val="single" w:sz="4" w:space="0" w:color="000000"/>
              <w:left w:val="single" w:sz="4" w:space="0" w:color="000000"/>
              <w:bottom w:val="single" w:sz="4" w:space="0" w:color="000000"/>
              <w:right w:val="single" w:sz="4" w:space="0" w:color="000000"/>
            </w:tcBorders>
          </w:tcPr>
          <w:p w14:paraId="2A326945" w14:textId="77777777" w:rsidR="00E65546" w:rsidRDefault="00E65546" w:rsidP="00E65546">
            <w:pPr>
              <w:ind w:left="4"/>
              <w:jc w:val="center"/>
              <w:rPr>
                <w:rFonts w:ascii="Times New Roman" w:eastAsia="Times New Roman" w:hAnsi="Times New Roman" w:cs="Times New Roman"/>
                <w:sz w:val="20"/>
              </w:rPr>
            </w:pPr>
          </w:p>
          <w:p w14:paraId="51810EFB" w14:textId="42C57CDB" w:rsidR="004A009C" w:rsidRPr="00FB6B3F" w:rsidRDefault="006C3E4C" w:rsidP="006C3E4C">
            <w:pPr>
              <w:ind w:left="4"/>
              <w:rPr>
                <w:sz w:val="20"/>
                <w:szCs w:val="20"/>
              </w:rPr>
            </w:pPr>
            <w:r w:rsidRPr="00FB6B3F">
              <w:rPr>
                <w:rFonts w:ascii="Times New Roman" w:eastAsia="Times New Roman" w:hAnsi="Times New Roman" w:cs="Times New Roman"/>
                <w:sz w:val="20"/>
                <w:szCs w:val="20"/>
              </w:rPr>
              <w:t>Nie dotyczy</w:t>
            </w:r>
          </w:p>
        </w:tc>
      </w:tr>
      <w:tr w:rsidR="004A009C" w14:paraId="32296D2A" w14:textId="77777777">
        <w:trPr>
          <w:trHeight w:val="1216"/>
        </w:trPr>
        <w:tc>
          <w:tcPr>
            <w:tcW w:w="0" w:type="auto"/>
            <w:vMerge/>
            <w:tcBorders>
              <w:top w:val="nil"/>
              <w:left w:val="single" w:sz="4" w:space="0" w:color="000000"/>
              <w:bottom w:val="nil"/>
              <w:right w:val="single" w:sz="4" w:space="0" w:color="000000"/>
            </w:tcBorders>
          </w:tcPr>
          <w:p w14:paraId="3285E78B"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6107CB6" w14:textId="77777777" w:rsidR="004A009C" w:rsidRDefault="00B365B2">
            <w:pPr>
              <w:ind w:left="2" w:right="51"/>
              <w:jc w:val="both"/>
            </w:pPr>
            <w:r>
              <w:rPr>
                <w:rFonts w:ascii="Times New Roman" w:eastAsia="Times New Roman" w:hAnsi="Times New Roman" w:cs="Times New Roman"/>
                <w:sz w:val="20"/>
              </w:rPr>
              <w:t xml:space="preserve">wymagania dotyczące ochrony innych terenów lub obiektów podlegających ochronie na podstawie przepisów odrębnych </w:t>
            </w:r>
          </w:p>
        </w:tc>
        <w:tc>
          <w:tcPr>
            <w:tcW w:w="3421" w:type="dxa"/>
            <w:tcBorders>
              <w:top w:val="single" w:sz="4" w:space="0" w:color="000000"/>
              <w:left w:val="single" w:sz="4" w:space="0" w:color="000000"/>
              <w:bottom w:val="single" w:sz="4" w:space="0" w:color="000000"/>
              <w:right w:val="single" w:sz="4" w:space="0" w:color="000000"/>
            </w:tcBorders>
          </w:tcPr>
          <w:p w14:paraId="518D3B51" w14:textId="2C6F32E5" w:rsidR="004A009C" w:rsidRPr="00FB6B3F" w:rsidRDefault="006C3E4C">
            <w:pPr>
              <w:ind w:left="4"/>
              <w:rPr>
                <w:rFonts w:ascii="Times New Roman" w:hAnsi="Times New Roman" w:cs="Times New Roman"/>
                <w:sz w:val="20"/>
                <w:szCs w:val="20"/>
              </w:rPr>
            </w:pPr>
            <w:r w:rsidRPr="00FB6B3F">
              <w:rPr>
                <w:rFonts w:ascii="Times New Roman" w:eastAsia="Times New Roman" w:hAnsi="Times New Roman" w:cs="Times New Roman"/>
                <w:sz w:val="20"/>
                <w:szCs w:val="20"/>
              </w:rPr>
              <w:t>Nie dotyczy</w:t>
            </w:r>
          </w:p>
        </w:tc>
      </w:tr>
      <w:tr w:rsidR="004A009C" w14:paraId="18C20684" w14:textId="77777777">
        <w:trPr>
          <w:trHeight w:val="760"/>
        </w:trPr>
        <w:tc>
          <w:tcPr>
            <w:tcW w:w="2809" w:type="dxa"/>
            <w:vMerge w:val="restart"/>
            <w:tcBorders>
              <w:top w:val="nil"/>
              <w:left w:val="single" w:sz="4" w:space="0" w:color="000000"/>
              <w:bottom w:val="single" w:sz="4" w:space="0" w:color="000000"/>
              <w:right w:val="single" w:sz="4" w:space="0" w:color="000000"/>
            </w:tcBorders>
            <w:shd w:val="clear" w:color="auto" w:fill="F3F3F3"/>
          </w:tcPr>
          <w:p w14:paraId="7A4DBCD2"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351B8F5" w14:textId="77777777" w:rsidR="004A009C" w:rsidRDefault="00B365B2">
            <w:pPr>
              <w:ind w:left="2"/>
              <w:jc w:val="both"/>
            </w:pPr>
            <w:r>
              <w:rPr>
                <w:rFonts w:ascii="Times New Roman" w:eastAsia="Times New Roman" w:hAnsi="Times New Roman" w:cs="Times New Roman"/>
                <w:sz w:val="20"/>
              </w:rPr>
              <w:t xml:space="preserve">warunki i szczegółowe zasady obsługi w zakresie komunikacji </w:t>
            </w:r>
          </w:p>
        </w:tc>
        <w:tc>
          <w:tcPr>
            <w:tcW w:w="3421" w:type="dxa"/>
            <w:tcBorders>
              <w:top w:val="single" w:sz="4" w:space="0" w:color="000000"/>
              <w:left w:val="single" w:sz="4" w:space="0" w:color="000000"/>
              <w:bottom w:val="single" w:sz="4" w:space="0" w:color="000000"/>
              <w:right w:val="single" w:sz="4" w:space="0" w:color="000000"/>
            </w:tcBorders>
          </w:tcPr>
          <w:p w14:paraId="41313B70" w14:textId="458AB65B" w:rsidR="007E2199" w:rsidRPr="00FB6B3F" w:rsidRDefault="006C3E4C">
            <w:pPr>
              <w:ind w:left="4"/>
              <w:rPr>
                <w:rFonts w:ascii="Times New Roman" w:hAnsi="Times New Roman" w:cs="Times New Roman"/>
                <w:sz w:val="20"/>
                <w:szCs w:val="20"/>
              </w:rPr>
            </w:pPr>
            <w:r w:rsidRPr="00FB6B3F">
              <w:rPr>
                <w:rFonts w:ascii="Times New Roman" w:eastAsia="Times New Roman" w:hAnsi="Times New Roman" w:cs="Times New Roman"/>
                <w:sz w:val="20"/>
                <w:szCs w:val="20"/>
              </w:rPr>
              <w:t>Nie dotyczy</w:t>
            </w:r>
          </w:p>
        </w:tc>
      </w:tr>
      <w:tr w:rsidR="004A009C" w14:paraId="39D643BF" w14:textId="77777777">
        <w:trPr>
          <w:trHeight w:val="758"/>
        </w:trPr>
        <w:tc>
          <w:tcPr>
            <w:tcW w:w="0" w:type="auto"/>
            <w:vMerge/>
            <w:tcBorders>
              <w:top w:val="nil"/>
              <w:left w:val="single" w:sz="4" w:space="0" w:color="000000"/>
              <w:bottom w:val="single" w:sz="4" w:space="0" w:color="000000"/>
              <w:right w:val="single" w:sz="4" w:space="0" w:color="000000"/>
            </w:tcBorders>
          </w:tcPr>
          <w:p w14:paraId="6680ACB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16F2CF1" w14:textId="77777777" w:rsidR="004A009C" w:rsidRDefault="00B365B2">
            <w:pPr>
              <w:ind w:left="2"/>
              <w:jc w:val="both"/>
            </w:pPr>
            <w:r>
              <w:rPr>
                <w:rFonts w:ascii="Times New Roman" w:eastAsia="Times New Roman" w:hAnsi="Times New Roman" w:cs="Times New Roman"/>
                <w:sz w:val="20"/>
              </w:rPr>
              <w:t xml:space="preserve">warunki i szczegółowe zasady obsługi w zakresie infrastruktury technicznej </w:t>
            </w:r>
          </w:p>
        </w:tc>
        <w:tc>
          <w:tcPr>
            <w:tcW w:w="3421" w:type="dxa"/>
            <w:tcBorders>
              <w:top w:val="single" w:sz="4" w:space="0" w:color="000000"/>
              <w:left w:val="single" w:sz="4" w:space="0" w:color="000000"/>
              <w:bottom w:val="single" w:sz="4" w:space="0" w:color="000000"/>
              <w:right w:val="single" w:sz="4" w:space="0" w:color="000000"/>
            </w:tcBorders>
          </w:tcPr>
          <w:p w14:paraId="511BFD6E" w14:textId="63F18634" w:rsidR="004A009C" w:rsidRPr="00FB6B3F" w:rsidRDefault="006C3E4C" w:rsidP="00AE254F">
            <w:pPr>
              <w:rPr>
                <w:rFonts w:ascii="Times New Roman" w:hAnsi="Times New Roman" w:cs="Times New Roman"/>
                <w:sz w:val="20"/>
                <w:szCs w:val="20"/>
              </w:rPr>
            </w:pPr>
            <w:r w:rsidRPr="00FB6B3F">
              <w:rPr>
                <w:rFonts w:ascii="Times New Roman" w:eastAsia="Times New Roman" w:hAnsi="Times New Roman" w:cs="Times New Roman"/>
                <w:sz w:val="20"/>
                <w:szCs w:val="20"/>
              </w:rPr>
              <w:t>Nie dotyczy</w:t>
            </w:r>
          </w:p>
        </w:tc>
      </w:tr>
      <w:tr w:rsidR="004A009C" w14:paraId="13CC4E82" w14:textId="77777777">
        <w:trPr>
          <w:trHeight w:val="759"/>
        </w:trPr>
        <w:tc>
          <w:tcPr>
            <w:tcW w:w="280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BF1C79B" w14:textId="77777777" w:rsidR="004A009C" w:rsidRDefault="00B365B2">
            <w:pPr>
              <w:spacing w:after="185"/>
              <w:ind w:right="305"/>
            </w:pPr>
            <w:r>
              <w:rPr>
                <w:rFonts w:ascii="Times New Roman" w:eastAsia="Times New Roman" w:hAnsi="Times New Roman" w:cs="Times New Roman"/>
                <w:sz w:val="20"/>
              </w:rPr>
              <w:t>Informacje dotyczące przewidzianych inwestycji w promieniu 1 km od terenu objętego przedsięwzięciem deweloperskim lub zadaniem inwestycyjnym</w:t>
            </w:r>
            <w:r>
              <w:rPr>
                <w:rFonts w:ascii="Times New Roman" w:eastAsia="Times New Roman" w:hAnsi="Times New Roman" w:cs="Times New Roman"/>
                <w:sz w:val="20"/>
                <w:vertAlign w:val="superscript"/>
              </w:rPr>
              <w:footnoteReference w:id="4"/>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zawarte w: </w:t>
            </w:r>
          </w:p>
          <w:p w14:paraId="3583819E"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11104B11" w14:textId="77777777" w:rsidR="004A009C" w:rsidRDefault="00B365B2">
            <w:pPr>
              <w:ind w:left="2"/>
              <w:jc w:val="both"/>
            </w:pPr>
            <w:r>
              <w:rPr>
                <w:rFonts w:ascii="Times New Roman" w:eastAsia="Times New Roman" w:hAnsi="Times New Roman" w:cs="Times New Roman"/>
                <w:sz w:val="20"/>
              </w:rPr>
              <w:t xml:space="preserve">miejscowych planach zagospodarowania przestrzennego </w:t>
            </w:r>
          </w:p>
        </w:tc>
        <w:tc>
          <w:tcPr>
            <w:tcW w:w="3421" w:type="dxa"/>
            <w:tcBorders>
              <w:top w:val="single" w:sz="4" w:space="0" w:color="000000"/>
              <w:left w:val="single" w:sz="4" w:space="0" w:color="000000"/>
              <w:bottom w:val="single" w:sz="4" w:space="0" w:color="000000"/>
              <w:right w:val="single" w:sz="4" w:space="0" w:color="000000"/>
            </w:tcBorders>
          </w:tcPr>
          <w:p w14:paraId="391C7549" w14:textId="402AE563"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4C532E4E" w14:textId="77777777">
        <w:trPr>
          <w:trHeight w:val="758"/>
        </w:trPr>
        <w:tc>
          <w:tcPr>
            <w:tcW w:w="0" w:type="auto"/>
            <w:vMerge/>
            <w:tcBorders>
              <w:top w:val="nil"/>
              <w:left w:val="single" w:sz="4" w:space="0" w:color="000000"/>
              <w:bottom w:val="nil"/>
              <w:right w:val="single" w:sz="4" w:space="0" w:color="000000"/>
            </w:tcBorders>
          </w:tcPr>
          <w:p w14:paraId="1FEC94AA"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2100384" w14:textId="4D4F578E" w:rsidR="004A009C" w:rsidRDefault="00B365B2">
            <w:pPr>
              <w:ind w:left="2"/>
              <w:jc w:val="both"/>
            </w:pPr>
            <w:r>
              <w:rPr>
                <w:rFonts w:ascii="Times New Roman" w:eastAsia="Times New Roman" w:hAnsi="Times New Roman" w:cs="Times New Roman"/>
                <w:sz w:val="20"/>
              </w:rPr>
              <w:t xml:space="preserve">studium uwarunkowań i kierunków zagospodarowania przestrzennego gminy  </w:t>
            </w:r>
          </w:p>
        </w:tc>
        <w:tc>
          <w:tcPr>
            <w:tcW w:w="3421" w:type="dxa"/>
            <w:tcBorders>
              <w:top w:val="single" w:sz="4" w:space="0" w:color="000000"/>
              <w:left w:val="single" w:sz="4" w:space="0" w:color="000000"/>
              <w:bottom w:val="single" w:sz="4" w:space="0" w:color="000000"/>
              <w:right w:val="single" w:sz="4" w:space="0" w:color="000000"/>
            </w:tcBorders>
          </w:tcPr>
          <w:p w14:paraId="4B63BCEA" w14:textId="047F6330"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17557CCC" w14:textId="77777777">
        <w:trPr>
          <w:trHeight w:val="528"/>
        </w:trPr>
        <w:tc>
          <w:tcPr>
            <w:tcW w:w="0" w:type="auto"/>
            <w:vMerge/>
            <w:tcBorders>
              <w:top w:val="nil"/>
              <w:left w:val="single" w:sz="4" w:space="0" w:color="000000"/>
              <w:bottom w:val="nil"/>
              <w:right w:val="single" w:sz="4" w:space="0" w:color="000000"/>
            </w:tcBorders>
          </w:tcPr>
          <w:p w14:paraId="2E24434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tcPr>
          <w:p w14:paraId="4034AAB8" w14:textId="77777777" w:rsidR="004A009C" w:rsidRDefault="00B365B2">
            <w:pPr>
              <w:ind w:left="2" w:right="406"/>
            </w:pPr>
            <w:r>
              <w:rPr>
                <w:rFonts w:ascii="Times New Roman" w:eastAsia="Times New Roman" w:hAnsi="Times New Roman" w:cs="Times New Roman"/>
                <w:sz w:val="20"/>
              </w:rPr>
              <w:t xml:space="preserve">decyzjach o warunkach zabudowy i zagospodarowania terenu </w:t>
            </w:r>
          </w:p>
        </w:tc>
        <w:tc>
          <w:tcPr>
            <w:tcW w:w="3421" w:type="dxa"/>
            <w:tcBorders>
              <w:top w:val="single" w:sz="4" w:space="0" w:color="000000"/>
              <w:left w:val="single" w:sz="4" w:space="0" w:color="000000"/>
              <w:bottom w:val="single" w:sz="4" w:space="0" w:color="000000"/>
              <w:right w:val="single" w:sz="4" w:space="0" w:color="000000"/>
            </w:tcBorders>
            <w:vAlign w:val="center"/>
          </w:tcPr>
          <w:p w14:paraId="3F861EB9" w14:textId="260CDC37"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23BA05F2" w14:textId="77777777">
        <w:trPr>
          <w:trHeight w:val="758"/>
        </w:trPr>
        <w:tc>
          <w:tcPr>
            <w:tcW w:w="0" w:type="auto"/>
            <w:vMerge/>
            <w:tcBorders>
              <w:top w:val="nil"/>
              <w:left w:val="single" w:sz="4" w:space="0" w:color="000000"/>
              <w:bottom w:val="nil"/>
              <w:right w:val="single" w:sz="4" w:space="0" w:color="000000"/>
            </w:tcBorders>
          </w:tcPr>
          <w:p w14:paraId="45A14C91"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80321D4" w14:textId="77777777" w:rsidR="004A009C" w:rsidRDefault="00B365B2">
            <w:pPr>
              <w:ind w:left="2"/>
            </w:pPr>
            <w:r>
              <w:rPr>
                <w:rFonts w:ascii="Times New Roman" w:eastAsia="Times New Roman" w:hAnsi="Times New Roman" w:cs="Times New Roman"/>
                <w:sz w:val="20"/>
              </w:rPr>
              <w:t xml:space="preserve">decyzjach o środowiskowych uwarunkowaniach </w:t>
            </w:r>
          </w:p>
        </w:tc>
        <w:tc>
          <w:tcPr>
            <w:tcW w:w="3421" w:type="dxa"/>
            <w:tcBorders>
              <w:top w:val="single" w:sz="4" w:space="0" w:color="000000"/>
              <w:left w:val="single" w:sz="4" w:space="0" w:color="000000"/>
              <w:bottom w:val="single" w:sz="4" w:space="0" w:color="000000"/>
              <w:right w:val="single" w:sz="4" w:space="0" w:color="000000"/>
            </w:tcBorders>
          </w:tcPr>
          <w:p w14:paraId="0B35A2FA" w14:textId="5668F129"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043EE6DE" w14:textId="77777777">
        <w:trPr>
          <w:trHeight w:val="756"/>
        </w:trPr>
        <w:tc>
          <w:tcPr>
            <w:tcW w:w="0" w:type="auto"/>
            <w:vMerge/>
            <w:tcBorders>
              <w:top w:val="nil"/>
              <w:left w:val="single" w:sz="4" w:space="0" w:color="000000"/>
              <w:bottom w:val="nil"/>
              <w:right w:val="single" w:sz="4" w:space="0" w:color="000000"/>
            </w:tcBorders>
          </w:tcPr>
          <w:p w14:paraId="3282E67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62CF2223" w14:textId="77777777" w:rsidR="004A009C" w:rsidRDefault="00B365B2">
            <w:pPr>
              <w:ind w:left="2"/>
            </w:pPr>
            <w:r>
              <w:rPr>
                <w:rFonts w:ascii="Times New Roman" w:eastAsia="Times New Roman" w:hAnsi="Times New Roman" w:cs="Times New Roman"/>
                <w:sz w:val="20"/>
              </w:rPr>
              <w:t xml:space="preserve">uchwałach o obszarach ograniczonego użytkowania </w:t>
            </w:r>
          </w:p>
        </w:tc>
        <w:tc>
          <w:tcPr>
            <w:tcW w:w="3421" w:type="dxa"/>
            <w:tcBorders>
              <w:top w:val="single" w:sz="4" w:space="0" w:color="000000"/>
              <w:left w:val="single" w:sz="4" w:space="0" w:color="000000"/>
              <w:bottom w:val="single" w:sz="4" w:space="0" w:color="000000"/>
              <w:right w:val="single" w:sz="4" w:space="0" w:color="000000"/>
            </w:tcBorders>
          </w:tcPr>
          <w:p w14:paraId="3F5D958C" w14:textId="12F8A12B"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241237A5" w14:textId="77777777">
        <w:trPr>
          <w:trHeight w:val="528"/>
        </w:trPr>
        <w:tc>
          <w:tcPr>
            <w:tcW w:w="0" w:type="auto"/>
            <w:vMerge/>
            <w:tcBorders>
              <w:top w:val="nil"/>
              <w:left w:val="single" w:sz="4" w:space="0" w:color="000000"/>
              <w:bottom w:val="nil"/>
              <w:right w:val="single" w:sz="4" w:space="0" w:color="000000"/>
            </w:tcBorders>
          </w:tcPr>
          <w:p w14:paraId="7C2B7F4D"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BBFB711" w14:textId="77777777" w:rsidR="004A009C" w:rsidRDefault="00B365B2">
            <w:pPr>
              <w:ind w:left="2"/>
            </w:pPr>
            <w:r>
              <w:rPr>
                <w:rFonts w:ascii="Times New Roman" w:eastAsia="Times New Roman" w:hAnsi="Times New Roman" w:cs="Times New Roman"/>
                <w:sz w:val="20"/>
              </w:rPr>
              <w:t xml:space="preserve">miejscowych planach odbudowy </w:t>
            </w:r>
          </w:p>
        </w:tc>
        <w:tc>
          <w:tcPr>
            <w:tcW w:w="3421" w:type="dxa"/>
            <w:tcBorders>
              <w:top w:val="single" w:sz="4" w:space="0" w:color="000000"/>
              <w:left w:val="single" w:sz="4" w:space="0" w:color="000000"/>
              <w:bottom w:val="single" w:sz="4" w:space="0" w:color="000000"/>
              <w:right w:val="single" w:sz="4" w:space="0" w:color="000000"/>
            </w:tcBorders>
            <w:vAlign w:val="center"/>
          </w:tcPr>
          <w:p w14:paraId="74DED805" w14:textId="674B97FB"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48527957" w14:textId="77777777">
        <w:trPr>
          <w:trHeight w:val="758"/>
        </w:trPr>
        <w:tc>
          <w:tcPr>
            <w:tcW w:w="0" w:type="auto"/>
            <w:vMerge/>
            <w:tcBorders>
              <w:top w:val="nil"/>
              <w:left w:val="single" w:sz="4" w:space="0" w:color="000000"/>
              <w:bottom w:val="nil"/>
              <w:right w:val="single" w:sz="4" w:space="0" w:color="000000"/>
            </w:tcBorders>
          </w:tcPr>
          <w:p w14:paraId="69ED8A4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8DEE816" w14:textId="77777777" w:rsidR="004A009C" w:rsidRDefault="00B365B2">
            <w:pPr>
              <w:ind w:left="2"/>
              <w:jc w:val="both"/>
            </w:pPr>
            <w:r>
              <w:rPr>
                <w:rFonts w:ascii="Times New Roman" w:eastAsia="Times New Roman" w:hAnsi="Times New Roman" w:cs="Times New Roman"/>
                <w:sz w:val="20"/>
              </w:rPr>
              <w:t xml:space="preserve">mapach zagrożenia powodziowego i mapach ryzyka powodziowego </w:t>
            </w:r>
          </w:p>
        </w:tc>
        <w:tc>
          <w:tcPr>
            <w:tcW w:w="3421" w:type="dxa"/>
            <w:tcBorders>
              <w:top w:val="single" w:sz="4" w:space="0" w:color="000000"/>
              <w:left w:val="single" w:sz="4" w:space="0" w:color="000000"/>
              <w:bottom w:val="single" w:sz="4" w:space="0" w:color="000000"/>
              <w:right w:val="single" w:sz="4" w:space="0" w:color="000000"/>
            </w:tcBorders>
          </w:tcPr>
          <w:p w14:paraId="7A7A7E76" w14:textId="5A125C36"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3D137083" w14:textId="77777777">
        <w:trPr>
          <w:trHeight w:val="941"/>
        </w:trPr>
        <w:tc>
          <w:tcPr>
            <w:tcW w:w="0" w:type="auto"/>
            <w:vMerge/>
            <w:tcBorders>
              <w:top w:val="nil"/>
              <w:left w:val="single" w:sz="4" w:space="0" w:color="000000"/>
              <w:bottom w:val="nil"/>
              <w:right w:val="single" w:sz="4" w:space="0" w:color="000000"/>
            </w:tcBorders>
          </w:tcPr>
          <w:p w14:paraId="1F05DDD7" w14:textId="77777777" w:rsidR="004A009C" w:rsidRDefault="004A009C"/>
        </w:tc>
        <w:tc>
          <w:tcPr>
            <w:tcW w:w="6840" w:type="dxa"/>
            <w:gridSpan w:val="2"/>
            <w:tcBorders>
              <w:top w:val="single" w:sz="4" w:space="0" w:color="000000"/>
              <w:left w:val="single" w:sz="4" w:space="0" w:color="000000"/>
              <w:bottom w:val="single" w:sz="4" w:space="0" w:color="000000"/>
              <w:right w:val="single" w:sz="4" w:space="0" w:color="000000"/>
            </w:tcBorders>
            <w:vAlign w:val="center"/>
          </w:tcPr>
          <w:p w14:paraId="3F1C55C6" w14:textId="77777777" w:rsidR="004A009C" w:rsidRDefault="00B365B2">
            <w:pPr>
              <w:ind w:left="2" w:right="53"/>
              <w:jc w:val="both"/>
            </w:pPr>
            <w:r>
              <w:rPr>
                <w:rFonts w:ascii="Times New Roman" w:eastAsia="Times New Roman" w:hAnsi="Times New Roman" w:cs="Times New Roman"/>
                <w:sz w:val="20"/>
              </w:rPr>
              <w:t xml:space="preserve">Ustalenia decyzji w zakresie rozmieszczenia inwestycji celu publicznego, mogące mieć znaczenie dla terenu objętego przedsięwzięciem deweloperskim lub zadaniem inwestycyjnym: </w:t>
            </w:r>
          </w:p>
        </w:tc>
      </w:tr>
      <w:tr w:rsidR="004A009C" w14:paraId="5C51D67F" w14:textId="77777777">
        <w:trPr>
          <w:trHeight w:val="758"/>
        </w:trPr>
        <w:tc>
          <w:tcPr>
            <w:tcW w:w="0" w:type="auto"/>
            <w:vMerge/>
            <w:tcBorders>
              <w:top w:val="nil"/>
              <w:left w:val="single" w:sz="4" w:space="0" w:color="000000"/>
              <w:bottom w:val="nil"/>
              <w:right w:val="single" w:sz="4" w:space="0" w:color="000000"/>
            </w:tcBorders>
          </w:tcPr>
          <w:p w14:paraId="2DD0146D"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2AC7457" w14:textId="77777777" w:rsidR="004A009C" w:rsidRDefault="00B365B2">
            <w:pPr>
              <w:ind w:left="2"/>
              <w:jc w:val="both"/>
            </w:pPr>
            <w:r>
              <w:rPr>
                <w:rFonts w:ascii="Times New Roman" w:eastAsia="Times New Roman" w:hAnsi="Times New Roman" w:cs="Times New Roman"/>
                <w:sz w:val="20"/>
              </w:rPr>
              <w:t xml:space="preserve">decyzja o zezwoleniu na realizację inwestycji drogowej </w:t>
            </w:r>
          </w:p>
        </w:tc>
        <w:tc>
          <w:tcPr>
            <w:tcW w:w="3421" w:type="dxa"/>
            <w:tcBorders>
              <w:top w:val="single" w:sz="4" w:space="0" w:color="000000"/>
              <w:left w:val="single" w:sz="4" w:space="0" w:color="000000"/>
              <w:bottom w:val="single" w:sz="4" w:space="0" w:color="000000"/>
              <w:right w:val="single" w:sz="4" w:space="0" w:color="000000"/>
            </w:tcBorders>
          </w:tcPr>
          <w:p w14:paraId="4CF7DFCF" w14:textId="0D687044"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2A9E500A" w14:textId="77777777">
        <w:trPr>
          <w:trHeight w:val="757"/>
        </w:trPr>
        <w:tc>
          <w:tcPr>
            <w:tcW w:w="0" w:type="auto"/>
            <w:vMerge/>
            <w:tcBorders>
              <w:top w:val="nil"/>
              <w:left w:val="single" w:sz="4" w:space="0" w:color="000000"/>
              <w:bottom w:val="nil"/>
              <w:right w:val="single" w:sz="4" w:space="0" w:color="000000"/>
            </w:tcBorders>
          </w:tcPr>
          <w:p w14:paraId="4A9EBF3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71AB590" w14:textId="77777777" w:rsidR="004A009C" w:rsidRDefault="00B365B2">
            <w:pPr>
              <w:ind w:left="2"/>
            </w:pPr>
            <w:r>
              <w:rPr>
                <w:rFonts w:ascii="Times New Roman" w:eastAsia="Times New Roman" w:hAnsi="Times New Roman" w:cs="Times New Roman"/>
                <w:sz w:val="20"/>
              </w:rPr>
              <w:t xml:space="preserve">decyzja o ustaleniu lokalizacji linii kolejowej </w:t>
            </w:r>
          </w:p>
        </w:tc>
        <w:tc>
          <w:tcPr>
            <w:tcW w:w="3421" w:type="dxa"/>
            <w:tcBorders>
              <w:top w:val="single" w:sz="4" w:space="0" w:color="000000"/>
              <w:left w:val="single" w:sz="4" w:space="0" w:color="000000"/>
              <w:bottom w:val="single" w:sz="4" w:space="0" w:color="000000"/>
              <w:right w:val="single" w:sz="4" w:space="0" w:color="000000"/>
            </w:tcBorders>
          </w:tcPr>
          <w:p w14:paraId="66B43691" w14:textId="7AA7A2B6"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37DA1FD9" w14:textId="77777777">
        <w:trPr>
          <w:trHeight w:val="989"/>
        </w:trPr>
        <w:tc>
          <w:tcPr>
            <w:tcW w:w="0" w:type="auto"/>
            <w:vMerge/>
            <w:tcBorders>
              <w:top w:val="nil"/>
              <w:left w:val="single" w:sz="4" w:space="0" w:color="000000"/>
              <w:bottom w:val="nil"/>
              <w:right w:val="single" w:sz="4" w:space="0" w:color="000000"/>
            </w:tcBorders>
          </w:tcPr>
          <w:p w14:paraId="167150AC"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430A370" w14:textId="77777777" w:rsidR="004A009C" w:rsidRDefault="00B365B2">
            <w:pPr>
              <w:ind w:left="2" w:right="51"/>
              <w:jc w:val="both"/>
            </w:pPr>
            <w:r>
              <w:rPr>
                <w:rFonts w:ascii="Times New Roman" w:eastAsia="Times New Roman" w:hAnsi="Times New Roman" w:cs="Times New Roman"/>
                <w:sz w:val="20"/>
              </w:rPr>
              <w:t xml:space="preserve">decyzja o zezwoleniu na realizację inwestycji w zakresie lotniska użytku publicznego </w:t>
            </w:r>
          </w:p>
        </w:tc>
        <w:tc>
          <w:tcPr>
            <w:tcW w:w="3421" w:type="dxa"/>
            <w:tcBorders>
              <w:top w:val="single" w:sz="4" w:space="0" w:color="000000"/>
              <w:left w:val="single" w:sz="4" w:space="0" w:color="000000"/>
              <w:bottom w:val="single" w:sz="4" w:space="0" w:color="000000"/>
              <w:right w:val="single" w:sz="4" w:space="0" w:color="000000"/>
            </w:tcBorders>
          </w:tcPr>
          <w:p w14:paraId="28FAC812" w14:textId="0C1A214C"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410595C9" w14:textId="77777777">
        <w:trPr>
          <w:trHeight w:val="988"/>
        </w:trPr>
        <w:tc>
          <w:tcPr>
            <w:tcW w:w="0" w:type="auto"/>
            <w:vMerge/>
            <w:tcBorders>
              <w:top w:val="nil"/>
              <w:left w:val="single" w:sz="4" w:space="0" w:color="000000"/>
              <w:bottom w:val="single" w:sz="4" w:space="0" w:color="000000"/>
              <w:right w:val="single" w:sz="4" w:space="0" w:color="000000"/>
            </w:tcBorders>
          </w:tcPr>
          <w:p w14:paraId="4604A25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AD4F3FE" w14:textId="77777777" w:rsidR="004A009C" w:rsidRDefault="00B365B2">
            <w:pPr>
              <w:ind w:left="2" w:right="51"/>
              <w:jc w:val="both"/>
            </w:pPr>
            <w:r>
              <w:rPr>
                <w:rFonts w:ascii="Times New Roman" w:eastAsia="Times New Roman" w:hAnsi="Times New Roman" w:cs="Times New Roman"/>
                <w:sz w:val="20"/>
              </w:rPr>
              <w:t xml:space="preserve">decyzja o pozwoleniu na realizację inwestycji w zakresie budowli przeciwpowodziowych </w:t>
            </w:r>
          </w:p>
        </w:tc>
        <w:tc>
          <w:tcPr>
            <w:tcW w:w="3421" w:type="dxa"/>
            <w:tcBorders>
              <w:top w:val="single" w:sz="4" w:space="0" w:color="000000"/>
              <w:left w:val="single" w:sz="4" w:space="0" w:color="000000"/>
              <w:bottom w:val="single" w:sz="4" w:space="0" w:color="000000"/>
              <w:right w:val="single" w:sz="4" w:space="0" w:color="000000"/>
            </w:tcBorders>
          </w:tcPr>
          <w:p w14:paraId="16A131F1" w14:textId="617C19C7"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bl>
    <w:p w14:paraId="0E501272" w14:textId="77777777" w:rsidR="004A009C" w:rsidRDefault="004A009C">
      <w:pPr>
        <w:spacing w:after="0"/>
        <w:ind w:left="-1020" w:right="110"/>
      </w:pPr>
    </w:p>
    <w:tbl>
      <w:tblPr>
        <w:tblStyle w:val="TableGrid"/>
        <w:tblW w:w="9648" w:type="dxa"/>
        <w:tblInd w:w="109" w:type="dxa"/>
        <w:tblCellMar>
          <w:top w:w="167" w:type="dxa"/>
          <w:left w:w="107" w:type="dxa"/>
          <w:right w:w="56" w:type="dxa"/>
        </w:tblCellMar>
        <w:tblLook w:val="04A0" w:firstRow="1" w:lastRow="0" w:firstColumn="1" w:lastColumn="0" w:noHBand="0" w:noVBand="1"/>
      </w:tblPr>
      <w:tblGrid>
        <w:gridCol w:w="2810"/>
        <w:gridCol w:w="3419"/>
        <w:gridCol w:w="3419"/>
      </w:tblGrid>
      <w:tr w:rsidR="004A009C" w14:paraId="436DA5C7" w14:textId="77777777" w:rsidTr="001F6733">
        <w:trPr>
          <w:trHeight w:val="988"/>
        </w:trPr>
        <w:tc>
          <w:tcPr>
            <w:tcW w:w="2810" w:type="dxa"/>
            <w:vMerge w:val="restart"/>
            <w:tcBorders>
              <w:top w:val="single" w:sz="4" w:space="0" w:color="000000"/>
              <w:left w:val="single" w:sz="4" w:space="0" w:color="000000"/>
              <w:bottom w:val="nil"/>
              <w:right w:val="single" w:sz="4" w:space="0" w:color="000000"/>
            </w:tcBorders>
            <w:shd w:val="clear" w:color="auto" w:fill="F3F3F3"/>
          </w:tcPr>
          <w:p w14:paraId="30E04B66"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27B9536F" w14:textId="77777777" w:rsidR="004A009C" w:rsidRDefault="00B365B2">
            <w:pPr>
              <w:ind w:left="2" w:right="50"/>
              <w:jc w:val="both"/>
            </w:pPr>
            <w:r>
              <w:rPr>
                <w:rFonts w:ascii="Times New Roman" w:eastAsia="Times New Roman" w:hAnsi="Times New Roman" w:cs="Times New Roman"/>
                <w:sz w:val="20"/>
              </w:rPr>
              <w:t xml:space="preserve">decyzja o ustaleniu lokalizacji inwestycji w zakresie budowy obiektu energetyki jądrowej </w:t>
            </w:r>
          </w:p>
        </w:tc>
        <w:tc>
          <w:tcPr>
            <w:tcW w:w="3419" w:type="dxa"/>
            <w:tcBorders>
              <w:top w:val="single" w:sz="4" w:space="0" w:color="000000"/>
              <w:left w:val="single" w:sz="4" w:space="0" w:color="000000"/>
              <w:bottom w:val="single" w:sz="4" w:space="0" w:color="000000"/>
              <w:right w:val="single" w:sz="4" w:space="0" w:color="000000"/>
            </w:tcBorders>
          </w:tcPr>
          <w:p w14:paraId="0BC298D4" w14:textId="70F5D7D5"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39CBC9CD" w14:textId="77777777">
        <w:trPr>
          <w:trHeight w:val="989"/>
        </w:trPr>
        <w:tc>
          <w:tcPr>
            <w:tcW w:w="0" w:type="auto"/>
            <w:vMerge/>
            <w:tcBorders>
              <w:top w:val="nil"/>
              <w:left w:val="single" w:sz="4" w:space="0" w:color="000000"/>
              <w:bottom w:val="nil"/>
              <w:right w:val="single" w:sz="4" w:space="0" w:color="000000"/>
            </w:tcBorders>
          </w:tcPr>
          <w:p w14:paraId="607D95F0"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CEDFF70" w14:textId="77777777" w:rsidR="004A009C" w:rsidRDefault="00B365B2">
            <w:pPr>
              <w:ind w:left="2" w:right="45"/>
              <w:jc w:val="both"/>
            </w:pPr>
            <w:r>
              <w:rPr>
                <w:rFonts w:ascii="Times New Roman" w:eastAsia="Times New Roman" w:hAnsi="Times New Roman" w:cs="Times New Roman"/>
                <w:sz w:val="20"/>
              </w:rPr>
              <w:t xml:space="preserve">decyzja o ustaleniu lokalizacji strategicznej inwestycji w zakresie sieci przesyłowej </w:t>
            </w:r>
          </w:p>
        </w:tc>
        <w:tc>
          <w:tcPr>
            <w:tcW w:w="3419" w:type="dxa"/>
            <w:tcBorders>
              <w:top w:val="single" w:sz="4" w:space="0" w:color="000000"/>
              <w:left w:val="single" w:sz="4" w:space="0" w:color="000000"/>
              <w:bottom w:val="single" w:sz="4" w:space="0" w:color="000000"/>
              <w:right w:val="single" w:sz="4" w:space="0" w:color="000000"/>
            </w:tcBorders>
          </w:tcPr>
          <w:p w14:paraId="616D5110" w14:textId="2265FFD7"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64DAB693" w14:textId="77777777">
        <w:trPr>
          <w:trHeight w:val="755"/>
        </w:trPr>
        <w:tc>
          <w:tcPr>
            <w:tcW w:w="0" w:type="auto"/>
            <w:vMerge/>
            <w:tcBorders>
              <w:top w:val="nil"/>
              <w:left w:val="single" w:sz="4" w:space="0" w:color="000000"/>
              <w:bottom w:val="nil"/>
              <w:right w:val="single" w:sz="4" w:space="0" w:color="000000"/>
            </w:tcBorders>
          </w:tcPr>
          <w:p w14:paraId="5A098208"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39CE4E77" w14:textId="77777777" w:rsidR="004A009C" w:rsidRDefault="00B365B2">
            <w:pPr>
              <w:ind w:left="2"/>
              <w:jc w:val="both"/>
            </w:pPr>
            <w:r>
              <w:rPr>
                <w:rFonts w:ascii="Times New Roman" w:eastAsia="Times New Roman" w:hAnsi="Times New Roman" w:cs="Times New Roman"/>
                <w:sz w:val="20"/>
              </w:rPr>
              <w:t xml:space="preserve">decyzja o ustaleniu lokalizacji regionalnej sieci szerokopasmowej </w:t>
            </w:r>
          </w:p>
        </w:tc>
        <w:tc>
          <w:tcPr>
            <w:tcW w:w="3419" w:type="dxa"/>
            <w:tcBorders>
              <w:top w:val="single" w:sz="4" w:space="0" w:color="000000"/>
              <w:left w:val="single" w:sz="4" w:space="0" w:color="000000"/>
              <w:bottom w:val="single" w:sz="4" w:space="0" w:color="000000"/>
              <w:right w:val="single" w:sz="4" w:space="0" w:color="000000"/>
            </w:tcBorders>
          </w:tcPr>
          <w:p w14:paraId="3AA4F1BD" w14:textId="3E149F84"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650770CE" w14:textId="77777777" w:rsidTr="001F6733">
        <w:trPr>
          <w:trHeight w:val="990"/>
        </w:trPr>
        <w:tc>
          <w:tcPr>
            <w:tcW w:w="2810" w:type="dxa"/>
            <w:vMerge w:val="restart"/>
            <w:tcBorders>
              <w:top w:val="nil"/>
              <w:left w:val="single" w:sz="4" w:space="0" w:color="000000"/>
              <w:bottom w:val="single" w:sz="4" w:space="0" w:color="000000"/>
              <w:right w:val="single" w:sz="4" w:space="0" w:color="000000"/>
            </w:tcBorders>
            <w:shd w:val="clear" w:color="auto" w:fill="F3F3F3"/>
          </w:tcPr>
          <w:p w14:paraId="359B1A3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A4990A4" w14:textId="77777777" w:rsidR="004A009C" w:rsidRDefault="00B365B2">
            <w:pPr>
              <w:ind w:left="2" w:right="47"/>
              <w:jc w:val="both"/>
            </w:pPr>
            <w:r>
              <w:rPr>
                <w:rFonts w:ascii="Times New Roman" w:eastAsia="Times New Roman" w:hAnsi="Times New Roman" w:cs="Times New Roman"/>
                <w:sz w:val="20"/>
              </w:rPr>
              <w:t xml:space="preserve">decyzja o ustaleniu lokalizacji inwestycji w zakresie Centralnego Portu Komunikacyjnego  </w:t>
            </w:r>
          </w:p>
        </w:tc>
        <w:tc>
          <w:tcPr>
            <w:tcW w:w="3419" w:type="dxa"/>
            <w:tcBorders>
              <w:top w:val="single" w:sz="4" w:space="0" w:color="000000"/>
              <w:left w:val="single" w:sz="4" w:space="0" w:color="000000"/>
              <w:bottom w:val="single" w:sz="4" w:space="0" w:color="000000"/>
              <w:right w:val="single" w:sz="4" w:space="0" w:color="000000"/>
            </w:tcBorders>
          </w:tcPr>
          <w:p w14:paraId="133EA332" w14:textId="38385E93"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2F766BCF" w14:textId="77777777">
        <w:trPr>
          <w:trHeight w:val="989"/>
        </w:trPr>
        <w:tc>
          <w:tcPr>
            <w:tcW w:w="0" w:type="auto"/>
            <w:vMerge/>
            <w:tcBorders>
              <w:top w:val="nil"/>
              <w:left w:val="single" w:sz="4" w:space="0" w:color="000000"/>
              <w:bottom w:val="nil"/>
              <w:right w:val="single" w:sz="4" w:space="0" w:color="000000"/>
            </w:tcBorders>
          </w:tcPr>
          <w:p w14:paraId="697F7F27"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5B3DDFB8" w14:textId="77777777" w:rsidR="004A009C" w:rsidRDefault="00B365B2">
            <w:pPr>
              <w:ind w:left="2"/>
            </w:pPr>
            <w:r>
              <w:rPr>
                <w:rFonts w:ascii="Times New Roman" w:eastAsia="Times New Roman" w:hAnsi="Times New Roman" w:cs="Times New Roman"/>
                <w:sz w:val="20"/>
              </w:rPr>
              <w:t xml:space="preserve">decyzja o zezwoleniu na realizację inwestycji w zakresie infrastruktury dostępowej </w:t>
            </w:r>
          </w:p>
        </w:tc>
        <w:tc>
          <w:tcPr>
            <w:tcW w:w="3419" w:type="dxa"/>
            <w:tcBorders>
              <w:top w:val="single" w:sz="4" w:space="0" w:color="000000"/>
              <w:left w:val="single" w:sz="4" w:space="0" w:color="000000"/>
              <w:bottom w:val="single" w:sz="4" w:space="0" w:color="000000"/>
              <w:right w:val="single" w:sz="4" w:space="0" w:color="000000"/>
            </w:tcBorders>
          </w:tcPr>
          <w:p w14:paraId="6FBC8CE7" w14:textId="6590FC26"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54958B45" w14:textId="77777777">
        <w:trPr>
          <w:trHeight w:val="988"/>
        </w:trPr>
        <w:tc>
          <w:tcPr>
            <w:tcW w:w="0" w:type="auto"/>
            <w:vMerge/>
            <w:tcBorders>
              <w:top w:val="nil"/>
              <w:left w:val="single" w:sz="4" w:space="0" w:color="000000"/>
              <w:bottom w:val="single" w:sz="4" w:space="0" w:color="000000"/>
              <w:right w:val="single" w:sz="4" w:space="0" w:color="000000"/>
            </w:tcBorders>
          </w:tcPr>
          <w:p w14:paraId="6D12C1A2"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039B511A" w14:textId="77777777" w:rsidR="004A009C" w:rsidRDefault="00B365B2">
            <w:pPr>
              <w:ind w:left="2" w:right="45"/>
              <w:jc w:val="both"/>
            </w:pPr>
            <w:r>
              <w:rPr>
                <w:rFonts w:ascii="Times New Roman" w:eastAsia="Times New Roman" w:hAnsi="Times New Roman" w:cs="Times New Roman"/>
                <w:sz w:val="20"/>
              </w:rPr>
              <w:t xml:space="preserve">decyzja o ustaleniu lokalizacji strategicznej inwestycji w sektorze naftowym </w:t>
            </w:r>
          </w:p>
        </w:tc>
        <w:tc>
          <w:tcPr>
            <w:tcW w:w="3419" w:type="dxa"/>
            <w:tcBorders>
              <w:top w:val="single" w:sz="4" w:space="0" w:color="000000"/>
              <w:left w:val="single" w:sz="4" w:space="0" w:color="000000"/>
              <w:bottom w:val="single" w:sz="4" w:space="0" w:color="000000"/>
              <w:right w:val="single" w:sz="4" w:space="0" w:color="000000"/>
            </w:tcBorders>
          </w:tcPr>
          <w:p w14:paraId="7882FFA0" w14:textId="06263A57" w:rsidR="004A009C" w:rsidRPr="00FB6B3F" w:rsidRDefault="00B365B2">
            <w:pPr>
              <w:ind w:left="4"/>
              <w:rPr>
                <w:sz w:val="20"/>
                <w:szCs w:val="20"/>
              </w:rPr>
            </w:pPr>
            <w:r w:rsidRPr="00FB6B3F">
              <w:rPr>
                <w:rFonts w:ascii="Times New Roman" w:eastAsia="Times New Roman" w:hAnsi="Times New Roman" w:cs="Times New Roman"/>
                <w:sz w:val="20"/>
                <w:szCs w:val="20"/>
              </w:rPr>
              <w:t xml:space="preserve"> </w:t>
            </w:r>
            <w:r w:rsidR="00F174CA" w:rsidRPr="00FB6B3F">
              <w:rPr>
                <w:rFonts w:ascii="Times New Roman" w:eastAsia="Times New Roman" w:hAnsi="Times New Roman" w:cs="Times New Roman"/>
                <w:sz w:val="20"/>
                <w:szCs w:val="20"/>
              </w:rPr>
              <w:t>Nie dotyczy</w:t>
            </w:r>
          </w:p>
        </w:tc>
      </w:tr>
      <w:tr w:rsidR="004A009C" w14:paraId="5E746CC1" w14:textId="77777777" w:rsidTr="001F6733">
        <w:trPr>
          <w:trHeight w:val="901"/>
        </w:trPr>
        <w:tc>
          <w:tcPr>
            <w:tcW w:w="6229" w:type="dxa"/>
            <w:gridSpan w:val="2"/>
            <w:tcBorders>
              <w:top w:val="single" w:sz="4" w:space="0" w:color="000000"/>
              <w:left w:val="single" w:sz="4" w:space="0" w:color="000000"/>
              <w:bottom w:val="single" w:sz="4" w:space="0" w:color="000000"/>
              <w:right w:val="nil"/>
            </w:tcBorders>
            <w:shd w:val="clear" w:color="auto" w:fill="D9D9D9"/>
            <w:vAlign w:val="center"/>
          </w:tcPr>
          <w:p w14:paraId="080CB082" w14:textId="77777777" w:rsidR="004A009C" w:rsidRDefault="00B365B2">
            <w:pPr>
              <w:spacing w:after="118"/>
            </w:pPr>
            <w:r>
              <w:rPr>
                <w:rFonts w:ascii="Times New Roman" w:eastAsia="Times New Roman" w:hAnsi="Times New Roman" w:cs="Times New Roman"/>
                <w:b/>
                <w:sz w:val="20"/>
              </w:rPr>
              <w:t xml:space="preserve">INFORMACJE DOTYCZĄCE BUDYNKU </w:t>
            </w:r>
          </w:p>
          <w:p w14:paraId="69DC27EB"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nil"/>
              <w:bottom w:val="single" w:sz="4" w:space="0" w:color="000000"/>
              <w:right w:val="single" w:sz="4" w:space="0" w:color="000000"/>
            </w:tcBorders>
            <w:shd w:val="clear" w:color="auto" w:fill="D9D9D9"/>
          </w:tcPr>
          <w:p w14:paraId="3DF44128" w14:textId="77777777" w:rsidR="004A009C" w:rsidRDefault="004A009C"/>
        </w:tc>
      </w:tr>
      <w:tr w:rsidR="004A009C" w14:paraId="350053B7" w14:textId="77777777" w:rsidTr="001F6733">
        <w:trPr>
          <w:trHeight w:val="903"/>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7CFE0F" w14:textId="77777777" w:rsidR="004A009C" w:rsidRDefault="00B365B2">
            <w:pPr>
              <w:spacing w:after="125"/>
            </w:pPr>
            <w:r>
              <w:rPr>
                <w:rFonts w:ascii="Times New Roman" w:eastAsia="Times New Roman" w:hAnsi="Times New Roman" w:cs="Times New Roman"/>
                <w:sz w:val="20"/>
              </w:rPr>
              <w:t xml:space="preserve">Czy jest pozwolenie na budowę </w:t>
            </w:r>
          </w:p>
          <w:p w14:paraId="5D2B4609" w14:textId="77777777" w:rsidR="004A009C" w:rsidRDefault="00B365B2">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vAlign w:val="center"/>
          </w:tcPr>
          <w:p w14:paraId="602AB723" w14:textId="26F3974B" w:rsidR="004A009C" w:rsidRDefault="00B365B2">
            <w:pPr>
              <w:ind w:right="46"/>
              <w:jc w:val="center"/>
            </w:pPr>
            <w:r>
              <w:rPr>
                <w:rFonts w:ascii="Times New Roman" w:eastAsia="Times New Roman" w:hAnsi="Times New Roman" w:cs="Times New Roman"/>
                <w:sz w:val="20"/>
              </w:rPr>
              <w:t>tak</w:t>
            </w:r>
          </w:p>
        </w:tc>
        <w:tc>
          <w:tcPr>
            <w:tcW w:w="3419" w:type="dxa"/>
            <w:tcBorders>
              <w:top w:val="single" w:sz="4" w:space="0" w:color="000000"/>
              <w:left w:val="single" w:sz="4" w:space="0" w:color="000000"/>
              <w:bottom w:val="single" w:sz="4" w:space="0" w:color="000000"/>
              <w:right w:val="single" w:sz="4" w:space="0" w:color="000000"/>
            </w:tcBorders>
            <w:vAlign w:val="center"/>
          </w:tcPr>
          <w:p w14:paraId="61C09AD2" w14:textId="5499AFA1" w:rsidR="004A009C" w:rsidRDefault="004A009C">
            <w:pPr>
              <w:ind w:right="40"/>
              <w:jc w:val="center"/>
            </w:pPr>
          </w:p>
        </w:tc>
      </w:tr>
      <w:tr w:rsidR="004A009C" w14:paraId="10443165" w14:textId="77777777" w:rsidTr="001F6733">
        <w:trPr>
          <w:trHeight w:val="75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985CC2" w14:textId="77777777" w:rsidR="004A009C" w:rsidRDefault="00B365B2">
            <w:r>
              <w:rPr>
                <w:rFonts w:ascii="Times New Roman" w:eastAsia="Times New Roman" w:hAnsi="Times New Roman" w:cs="Times New Roman"/>
                <w:sz w:val="20"/>
              </w:rPr>
              <w:lastRenderedPageBreak/>
              <w:t xml:space="preserve">Czy pozwolenie na budowę jest ostateczne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2B710B" w14:textId="1AA68B4A" w:rsidR="004A009C" w:rsidRDefault="00B365B2">
            <w:pPr>
              <w:ind w:right="44"/>
              <w:jc w:val="center"/>
            </w:pPr>
            <w:r>
              <w:rPr>
                <w:rFonts w:ascii="Times New Roman" w:eastAsia="Times New Roman" w:hAnsi="Times New Roman" w:cs="Times New Roman"/>
                <w:sz w:val="20"/>
              </w:rPr>
              <w:t>tak</w:t>
            </w:r>
          </w:p>
        </w:tc>
        <w:tc>
          <w:tcPr>
            <w:tcW w:w="3419" w:type="dxa"/>
            <w:tcBorders>
              <w:top w:val="single" w:sz="4" w:space="0" w:color="000000"/>
              <w:left w:val="single" w:sz="4" w:space="0" w:color="000000"/>
              <w:bottom w:val="single" w:sz="4" w:space="0" w:color="000000"/>
              <w:right w:val="single" w:sz="4" w:space="0" w:color="000000"/>
            </w:tcBorders>
            <w:vAlign w:val="center"/>
          </w:tcPr>
          <w:p w14:paraId="759C826B" w14:textId="023A4936" w:rsidR="004A009C" w:rsidRDefault="004A009C">
            <w:pPr>
              <w:ind w:right="40"/>
              <w:jc w:val="center"/>
            </w:pPr>
          </w:p>
        </w:tc>
      </w:tr>
      <w:tr w:rsidR="004A009C" w14:paraId="79F17B53" w14:textId="77777777" w:rsidTr="001F6733">
        <w:trPr>
          <w:trHeight w:val="75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27A02C" w14:textId="77777777" w:rsidR="004A009C" w:rsidRDefault="00B365B2">
            <w:r>
              <w:rPr>
                <w:rFonts w:ascii="Times New Roman" w:eastAsia="Times New Roman" w:hAnsi="Times New Roman" w:cs="Times New Roman"/>
                <w:sz w:val="20"/>
              </w:rPr>
              <w:t xml:space="preserve">Czy pozwolenie na budowę jest zaskarżone </w:t>
            </w:r>
          </w:p>
        </w:tc>
        <w:tc>
          <w:tcPr>
            <w:tcW w:w="3419" w:type="dxa"/>
            <w:tcBorders>
              <w:top w:val="single" w:sz="4" w:space="0" w:color="000000"/>
              <w:left w:val="single" w:sz="4" w:space="0" w:color="000000"/>
              <w:bottom w:val="single" w:sz="4" w:space="0" w:color="000000"/>
              <w:right w:val="single" w:sz="4" w:space="0" w:color="000000"/>
            </w:tcBorders>
            <w:vAlign w:val="center"/>
          </w:tcPr>
          <w:p w14:paraId="42387F77" w14:textId="551F005D" w:rsidR="004A009C" w:rsidRDefault="004A009C">
            <w:pPr>
              <w:ind w:right="44"/>
              <w:jc w:val="center"/>
            </w:pPr>
          </w:p>
        </w:tc>
        <w:tc>
          <w:tcPr>
            <w:tcW w:w="3419" w:type="dxa"/>
            <w:tcBorders>
              <w:top w:val="single" w:sz="4" w:space="0" w:color="000000"/>
              <w:left w:val="single" w:sz="4" w:space="0" w:color="000000"/>
              <w:bottom w:val="single" w:sz="4" w:space="0" w:color="000000"/>
              <w:right w:val="single" w:sz="4" w:space="0" w:color="000000"/>
            </w:tcBorders>
            <w:vAlign w:val="center"/>
          </w:tcPr>
          <w:p w14:paraId="0C7EDD03" w14:textId="2A45A02C" w:rsidR="004A009C" w:rsidRDefault="00B365B2">
            <w:pPr>
              <w:ind w:right="40"/>
              <w:jc w:val="center"/>
            </w:pPr>
            <w:r>
              <w:rPr>
                <w:rFonts w:ascii="Times New Roman" w:eastAsia="Times New Roman" w:hAnsi="Times New Roman" w:cs="Times New Roman"/>
                <w:sz w:val="20"/>
              </w:rPr>
              <w:t>nie</w:t>
            </w:r>
          </w:p>
        </w:tc>
      </w:tr>
      <w:tr w:rsidR="004A009C" w14:paraId="23DE39E7" w14:textId="77777777" w:rsidTr="001F6733">
        <w:trPr>
          <w:trHeight w:val="986"/>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152B0B" w14:textId="77777777" w:rsidR="004A009C" w:rsidRDefault="00B365B2">
            <w:r>
              <w:rPr>
                <w:rFonts w:ascii="Times New Roman" w:eastAsia="Times New Roman" w:hAnsi="Times New Roman" w:cs="Times New Roman"/>
                <w:sz w:val="20"/>
              </w:rPr>
              <w:t xml:space="preserve">Numer pozwolenia na budowę oraz nazwa organu, który je wydał </w:t>
            </w:r>
          </w:p>
        </w:tc>
        <w:tc>
          <w:tcPr>
            <w:tcW w:w="3419" w:type="dxa"/>
            <w:tcBorders>
              <w:top w:val="single" w:sz="4" w:space="0" w:color="000000"/>
              <w:left w:val="single" w:sz="4" w:space="0" w:color="000000"/>
              <w:bottom w:val="single" w:sz="4" w:space="0" w:color="000000"/>
              <w:right w:val="nil"/>
            </w:tcBorders>
          </w:tcPr>
          <w:p w14:paraId="421346C5" w14:textId="6FEB0402" w:rsidR="004918A1" w:rsidRPr="004918A1" w:rsidRDefault="004918A1" w:rsidP="004918A1">
            <w:pPr>
              <w:spacing w:line="256" w:lineRule="auto"/>
              <w:ind w:left="2"/>
              <w:rPr>
                <w:rFonts w:ascii="Times New Roman" w:hAnsi="Times New Roman" w:cs="Times New Roman"/>
                <w:sz w:val="20"/>
                <w:szCs w:val="20"/>
              </w:rPr>
            </w:pPr>
            <w:r w:rsidRPr="004918A1">
              <w:rPr>
                <w:rFonts w:ascii="Times New Roman" w:hAnsi="Times New Roman" w:cs="Times New Roman"/>
                <w:sz w:val="20"/>
                <w:szCs w:val="20"/>
              </w:rPr>
              <w:t xml:space="preserve">Decyzja </w:t>
            </w:r>
            <w:r w:rsidR="00331110">
              <w:rPr>
                <w:rFonts w:ascii="Times New Roman" w:hAnsi="Times New Roman" w:cs="Times New Roman"/>
                <w:sz w:val="20"/>
                <w:szCs w:val="20"/>
              </w:rPr>
              <w:t xml:space="preserve">303 </w:t>
            </w:r>
            <w:proofErr w:type="spellStart"/>
            <w:r w:rsidR="00331110">
              <w:rPr>
                <w:rFonts w:ascii="Times New Roman" w:hAnsi="Times New Roman" w:cs="Times New Roman"/>
                <w:sz w:val="20"/>
                <w:szCs w:val="20"/>
              </w:rPr>
              <w:t>pR</w:t>
            </w:r>
            <w:proofErr w:type="spellEnd"/>
            <w:r w:rsidR="00331110">
              <w:rPr>
                <w:rFonts w:ascii="Times New Roman" w:hAnsi="Times New Roman" w:cs="Times New Roman"/>
                <w:sz w:val="20"/>
                <w:szCs w:val="20"/>
              </w:rPr>
              <w:t>/2025</w:t>
            </w:r>
          </w:p>
          <w:p w14:paraId="788EC41C" w14:textId="2E457731" w:rsidR="004918A1" w:rsidRPr="004918A1" w:rsidRDefault="004918A1" w:rsidP="004918A1">
            <w:pPr>
              <w:spacing w:line="256" w:lineRule="auto"/>
              <w:ind w:left="2"/>
              <w:rPr>
                <w:rFonts w:ascii="Times New Roman" w:hAnsi="Times New Roman" w:cs="Times New Roman"/>
                <w:sz w:val="20"/>
                <w:szCs w:val="20"/>
              </w:rPr>
            </w:pPr>
            <w:r w:rsidRPr="004918A1">
              <w:rPr>
                <w:rFonts w:ascii="Times New Roman" w:hAnsi="Times New Roman" w:cs="Times New Roman"/>
                <w:sz w:val="20"/>
                <w:szCs w:val="20"/>
              </w:rPr>
              <w:t xml:space="preserve">z dnia </w:t>
            </w:r>
            <w:r w:rsidR="00331110">
              <w:rPr>
                <w:rFonts w:ascii="Times New Roman" w:hAnsi="Times New Roman" w:cs="Times New Roman"/>
                <w:sz w:val="20"/>
                <w:szCs w:val="20"/>
              </w:rPr>
              <w:t>7</w:t>
            </w:r>
            <w:r w:rsidR="00552FFF">
              <w:rPr>
                <w:rFonts w:ascii="Times New Roman" w:hAnsi="Times New Roman" w:cs="Times New Roman"/>
                <w:sz w:val="20"/>
                <w:szCs w:val="20"/>
              </w:rPr>
              <w:t xml:space="preserve"> </w:t>
            </w:r>
            <w:r w:rsidR="00331110">
              <w:rPr>
                <w:rFonts w:ascii="Times New Roman" w:hAnsi="Times New Roman" w:cs="Times New Roman"/>
                <w:sz w:val="20"/>
                <w:szCs w:val="20"/>
              </w:rPr>
              <w:t>maja</w:t>
            </w:r>
            <w:r w:rsidRPr="004918A1">
              <w:rPr>
                <w:rFonts w:ascii="Times New Roman" w:hAnsi="Times New Roman" w:cs="Times New Roman"/>
                <w:sz w:val="20"/>
                <w:szCs w:val="20"/>
              </w:rPr>
              <w:t xml:space="preserve"> 202</w:t>
            </w:r>
            <w:r w:rsidR="00331110">
              <w:rPr>
                <w:rFonts w:ascii="Times New Roman" w:hAnsi="Times New Roman" w:cs="Times New Roman"/>
                <w:sz w:val="20"/>
                <w:szCs w:val="20"/>
              </w:rPr>
              <w:t>5</w:t>
            </w:r>
            <w:r w:rsidRPr="004918A1">
              <w:rPr>
                <w:rFonts w:ascii="Times New Roman" w:hAnsi="Times New Roman" w:cs="Times New Roman"/>
                <w:sz w:val="20"/>
                <w:szCs w:val="20"/>
              </w:rPr>
              <w:t xml:space="preserve"> r, </w:t>
            </w:r>
          </w:p>
          <w:p w14:paraId="072123A2" w14:textId="29C8F8D7" w:rsidR="004A009C" w:rsidRDefault="00331110" w:rsidP="004918A1">
            <w:pPr>
              <w:ind w:left="2"/>
            </w:pPr>
            <w:r>
              <w:t>Starosta Wołomiński</w:t>
            </w:r>
          </w:p>
        </w:tc>
        <w:tc>
          <w:tcPr>
            <w:tcW w:w="3419" w:type="dxa"/>
            <w:tcBorders>
              <w:top w:val="single" w:sz="4" w:space="0" w:color="000000"/>
              <w:left w:val="nil"/>
              <w:bottom w:val="single" w:sz="4" w:space="0" w:color="000000"/>
              <w:right w:val="single" w:sz="4" w:space="0" w:color="000000"/>
            </w:tcBorders>
          </w:tcPr>
          <w:p w14:paraId="1D60C124" w14:textId="77777777" w:rsidR="004A009C" w:rsidRDefault="004A009C"/>
        </w:tc>
      </w:tr>
      <w:tr w:rsidR="004A009C" w14:paraId="197AF508" w14:textId="77777777" w:rsidTr="001F6733">
        <w:trPr>
          <w:trHeight w:val="989"/>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6012C2" w14:textId="77777777" w:rsidR="004A009C" w:rsidRDefault="00B365B2">
            <w:r>
              <w:rPr>
                <w:rFonts w:ascii="Times New Roman" w:eastAsia="Times New Roman" w:hAnsi="Times New Roman" w:cs="Times New Roman"/>
                <w:sz w:val="20"/>
              </w:rPr>
              <w:t xml:space="preserve">Data uprawomocnienia się decyzji o pozwoleniu na użytkowanie budynku </w:t>
            </w:r>
          </w:p>
        </w:tc>
        <w:tc>
          <w:tcPr>
            <w:tcW w:w="3419" w:type="dxa"/>
            <w:tcBorders>
              <w:top w:val="single" w:sz="4" w:space="0" w:color="000000"/>
              <w:left w:val="single" w:sz="4" w:space="0" w:color="000000"/>
              <w:bottom w:val="single" w:sz="4" w:space="0" w:color="000000"/>
              <w:right w:val="nil"/>
            </w:tcBorders>
          </w:tcPr>
          <w:p w14:paraId="39791C02" w14:textId="77777777" w:rsidR="00B85659" w:rsidRDefault="00B365B2">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3BC6D06" w14:textId="09DE2859" w:rsidR="004A009C" w:rsidRPr="006C13A9" w:rsidRDefault="0050021C">
            <w:pPr>
              <w:ind w:left="2"/>
              <w:rPr>
                <w:sz w:val="20"/>
                <w:szCs w:val="20"/>
              </w:rPr>
            </w:pPr>
            <w:r w:rsidRPr="006C13A9">
              <w:rPr>
                <w:rFonts w:ascii="Times New Roman" w:eastAsia="Times New Roman" w:hAnsi="Times New Roman" w:cs="Times New Roman"/>
                <w:color w:val="auto"/>
                <w:sz w:val="20"/>
              </w:rPr>
              <w:t xml:space="preserve">Planowana data </w:t>
            </w:r>
            <w:r w:rsidR="006C13A9" w:rsidRPr="006C13A9">
              <w:rPr>
                <w:rFonts w:ascii="Times New Roman" w:eastAsia="Times New Roman" w:hAnsi="Times New Roman" w:cs="Times New Roman"/>
                <w:color w:val="auto"/>
                <w:sz w:val="20"/>
                <w:szCs w:val="20"/>
              </w:rPr>
              <w:t>30.06.2027 r.</w:t>
            </w:r>
          </w:p>
        </w:tc>
        <w:tc>
          <w:tcPr>
            <w:tcW w:w="3419" w:type="dxa"/>
            <w:tcBorders>
              <w:top w:val="single" w:sz="4" w:space="0" w:color="000000"/>
              <w:left w:val="nil"/>
              <w:bottom w:val="single" w:sz="4" w:space="0" w:color="000000"/>
              <w:right w:val="single" w:sz="4" w:space="0" w:color="000000"/>
            </w:tcBorders>
          </w:tcPr>
          <w:p w14:paraId="2EAF6323" w14:textId="77777777" w:rsidR="004A009C" w:rsidRDefault="004A009C"/>
        </w:tc>
      </w:tr>
      <w:tr w:rsidR="004A009C" w14:paraId="2F8F3670" w14:textId="77777777" w:rsidTr="001F6733">
        <w:trPr>
          <w:trHeight w:val="254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16FA0B" w14:textId="77777777" w:rsidR="004A009C" w:rsidRDefault="00B365B2">
            <w:pPr>
              <w:ind w:right="87"/>
              <w:jc w:val="both"/>
            </w:pPr>
            <w:r>
              <w:rPr>
                <w:rFonts w:ascii="Times New Roman" w:eastAsia="Times New Roman" w:hAnsi="Times New Roman" w:cs="Times New Roman"/>
                <w:sz w:val="20"/>
              </w:rPr>
              <w:t xml:space="preserve">Numer zgłoszenia budowy, o której mowa w art. 29 ust. 1 pkt 1 ustawy z dnia 7 lipca 1994 r. </w:t>
            </w:r>
          </w:p>
          <w:p w14:paraId="15832C13" w14:textId="77777777" w:rsidR="004A009C" w:rsidRDefault="00B365B2">
            <w:r>
              <w:rPr>
                <w:rFonts w:ascii="Times New Roman" w:eastAsia="Times New Roman" w:hAnsi="Times New Roman" w:cs="Times New Roman"/>
                <w:sz w:val="20"/>
              </w:rPr>
              <w:t xml:space="preserve">– Prawo budowlane (Dz. U. </w:t>
            </w:r>
          </w:p>
          <w:p w14:paraId="643E9198" w14:textId="77777777" w:rsidR="004A009C" w:rsidRDefault="00B365B2">
            <w:pPr>
              <w:ind w:right="121"/>
            </w:pPr>
            <w:r>
              <w:rPr>
                <w:rFonts w:ascii="Times New Roman" w:eastAsia="Times New Roman" w:hAnsi="Times New Roman" w:cs="Times New Roman"/>
                <w:sz w:val="20"/>
              </w:rPr>
              <w:t xml:space="preserve">z 2020 r. poz. 1333, 2127 i 2320 oraz z 2021 r. poz. 11, 234, 282 i 784), oraz oznaczenie organu, do którego dokonano zgłoszenia, wraz z informacją o braku wniesienia sprzeciwu przez ten organ </w:t>
            </w:r>
          </w:p>
        </w:tc>
        <w:tc>
          <w:tcPr>
            <w:tcW w:w="3419" w:type="dxa"/>
            <w:tcBorders>
              <w:top w:val="single" w:sz="4" w:space="0" w:color="000000"/>
              <w:left w:val="single" w:sz="4" w:space="0" w:color="000000"/>
              <w:bottom w:val="single" w:sz="4" w:space="0" w:color="000000"/>
              <w:right w:val="nil"/>
            </w:tcBorders>
          </w:tcPr>
          <w:p w14:paraId="4F645301" w14:textId="2E658F5F" w:rsidR="004A009C" w:rsidRPr="006C13A9" w:rsidRDefault="00B365B2">
            <w:pPr>
              <w:ind w:left="2"/>
            </w:pPr>
            <w:r>
              <w:rPr>
                <w:rFonts w:ascii="Times New Roman" w:eastAsia="Times New Roman" w:hAnsi="Times New Roman" w:cs="Times New Roman"/>
                <w:sz w:val="20"/>
              </w:rPr>
              <w:t xml:space="preserve"> </w:t>
            </w:r>
            <w:r w:rsidR="00552FFF" w:rsidRPr="006C13A9">
              <w:rPr>
                <w:rFonts w:ascii="Times New Roman" w:eastAsia="Times New Roman" w:hAnsi="Times New Roman" w:cs="Times New Roman"/>
                <w:color w:val="auto"/>
                <w:sz w:val="20"/>
                <w:szCs w:val="20"/>
              </w:rPr>
              <w:t xml:space="preserve">Zgłoszenie do PINB dnia </w:t>
            </w:r>
            <w:r w:rsidR="006C13A9" w:rsidRPr="006C13A9">
              <w:rPr>
                <w:rFonts w:ascii="Times New Roman" w:eastAsia="Times New Roman" w:hAnsi="Times New Roman" w:cs="Times New Roman"/>
                <w:color w:val="auto"/>
                <w:sz w:val="20"/>
                <w:szCs w:val="20"/>
              </w:rPr>
              <w:t>27.06.2025 r.</w:t>
            </w:r>
          </w:p>
        </w:tc>
        <w:tc>
          <w:tcPr>
            <w:tcW w:w="3419" w:type="dxa"/>
            <w:tcBorders>
              <w:top w:val="single" w:sz="4" w:space="0" w:color="000000"/>
              <w:left w:val="nil"/>
              <w:bottom w:val="single" w:sz="4" w:space="0" w:color="000000"/>
              <w:right w:val="single" w:sz="4" w:space="0" w:color="000000"/>
            </w:tcBorders>
          </w:tcPr>
          <w:p w14:paraId="56D11E96" w14:textId="77777777" w:rsidR="004A009C" w:rsidRDefault="004A009C"/>
        </w:tc>
      </w:tr>
      <w:tr w:rsidR="004A009C" w14:paraId="292F61E8" w14:textId="77777777" w:rsidTr="001F6733">
        <w:trPr>
          <w:trHeight w:val="75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282747" w14:textId="77777777" w:rsidR="004A009C" w:rsidRDefault="00B365B2">
            <w:pPr>
              <w:ind w:right="32"/>
            </w:pPr>
            <w:r>
              <w:rPr>
                <w:rFonts w:ascii="Times New Roman" w:eastAsia="Times New Roman" w:hAnsi="Times New Roman" w:cs="Times New Roman"/>
                <w:sz w:val="20"/>
              </w:rPr>
              <w:t xml:space="preserve">Data zakończenia budowy domu jednorodzinnego  </w:t>
            </w:r>
          </w:p>
        </w:tc>
        <w:tc>
          <w:tcPr>
            <w:tcW w:w="3419" w:type="dxa"/>
            <w:tcBorders>
              <w:top w:val="single" w:sz="4" w:space="0" w:color="000000"/>
              <w:left w:val="single" w:sz="4" w:space="0" w:color="000000"/>
              <w:bottom w:val="single" w:sz="4" w:space="0" w:color="000000"/>
              <w:right w:val="nil"/>
            </w:tcBorders>
          </w:tcPr>
          <w:p w14:paraId="4C37610F" w14:textId="77777777" w:rsidR="00F10E88" w:rsidRDefault="00B365B2">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377984C" w14:textId="43B13129" w:rsidR="004A009C" w:rsidRPr="006C13A9" w:rsidRDefault="00B85659">
            <w:pPr>
              <w:ind w:left="2"/>
            </w:pPr>
            <w:r w:rsidRPr="006C13A9">
              <w:rPr>
                <w:rFonts w:ascii="Times New Roman" w:eastAsia="Times New Roman" w:hAnsi="Times New Roman" w:cs="Times New Roman"/>
                <w:color w:val="auto"/>
                <w:sz w:val="20"/>
              </w:rPr>
              <w:t xml:space="preserve">Planowana data </w:t>
            </w:r>
            <w:r w:rsidR="006C13A9" w:rsidRPr="006C13A9">
              <w:rPr>
                <w:rFonts w:ascii="Times New Roman" w:eastAsia="Times New Roman" w:hAnsi="Times New Roman" w:cs="Times New Roman"/>
                <w:color w:val="auto"/>
                <w:sz w:val="20"/>
              </w:rPr>
              <w:t>30.06.2027 r.</w:t>
            </w:r>
          </w:p>
        </w:tc>
        <w:tc>
          <w:tcPr>
            <w:tcW w:w="3419" w:type="dxa"/>
            <w:tcBorders>
              <w:top w:val="single" w:sz="4" w:space="0" w:color="000000"/>
              <w:left w:val="nil"/>
              <w:bottom w:val="single" w:sz="4" w:space="0" w:color="000000"/>
              <w:right w:val="single" w:sz="4" w:space="0" w:color="000000"/>
            </w:tcBorders>
          </w:tcPr>
          <w:p w14:paraId="0E1A7CB8" w14:textId="77777777" w:rsidR="004A009C" w:rsidRDefault="004A009C"/>
        </w:tc>
      </w:tr>
      <w:tr w:rsidR="004A009C" w14:paraId="5771BF88" w14:textId="77777777" w:rsidTr="001F6733">
        <w:trPr>
          <w:trHeight w:val="989"/>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CBCA90" w14:textId="77777777" w:rsidR="004A009C" w:rsidRDefault="00B365B2">
            <w:r>
              <w:rPr>
                <w:rFonts w:ascii="Times New Roman" w:eastAsia="Times New Roman" w:hAnsi="Times New Roman" w:cs="Times New Roman"/>
                <w:sz w:val="20"/>
              </w:rPr>
              <w:t xml:space="preserve">Planowany termin rozpoczęcia </w:t>
            </w:r>
          </w:p>
          <w:p w14:paraId="3A26C284" w14:textId="77777777" w:rsidR="004A009C" w:rsidRDefault="00B365B2">
            <w:r>
              <w:rPr>
                <w:rFonts w:ascii="Times New Roman" w:eastAsia="Times New Roman" w:hAnsi="Times New Roman" w:cs="Times New Roman"/>
                <w:sz w:val="20"/>
              </w:rPr>
              <w:t xml:space="preserve">i zakończenia robót budowlanych </w:t>
            </w:r>
          </w:p>
        </w:tc>
        <w:tc>
          <w:tcPr>
            <w:tcW w:w="3419" w:type="dxa"/>
            <w:tcBorders>
              <w:top w:val="single" w:sz="4" w:space="0" w:color="000000"/>
              <w:left w:val="single" w:sz="4" w:space="0" w:color="000000"/>
              <w:bottom w:val="single" w:sz="4" w:space="0" w:color="000000"/>
              <w:right w:val="nil"/>
            </w:tcBorders>
          </w:tcPr>
          <w:p w14:paraId="45CF8D26" w14:textId="77777777" w:rsidR="00F10E88" w:rsidRPr="006C13A9" w:rsidRDefault="00B365B2">
            <w:pPr>
              <w:ind w:left="2"/>
              <w:rPr>
                <w:rFonts w:ascii="Times New Roman" w:eastAsia="Times New Roman" w:hAnsi="Times New Roman" w:cs="Times New Roman"/>
                <w:sz w:val="20"/>
                <w:szCs w:val="20"/>
              </w:rPr>
            </w:pPr>
            <w:r w:rsidRPr="006C13A9">
              <w:rPr>
                <w:rFonts w:ascii="Times New Roman" w:eastAsia="Times New Roman" w:hAnsi="Times New Roman" w:cs="Times New Roman"/>
                <w:sz w:val="20"/>
                <w:szCs w:val="20"/>
              </w:rPr>
              <w:t xml:space="preserve"> </w:t>
            </w:r>
          </w:p>
          <w:p w14:paraId="7C011160" w14:textId="5C29C05F" w:rsidR="004A009C" w:rsidRPr="006C13A9" w:rsidRDefault="008E4007">
            <w:pPr>
              <w:ind w:left="2"/>
              <w:rPr>
                <w:sz w:val="20"/>
                <w:szCs w:val="20"/>
              </w:rPr>
            </w:pPr>
            <w:r>
              <w:rPr>
                <w:color w:val="auto"/>
                <w:sz w:val="20"/>
                <w:szCs w:val="20"/>
              </w:rPr>
              <w:t>07.072025 r..</w:t>
            </w:r>
            <w:r w:rsidR="006C13A9" w:rsidRPr="006C13A9">
              <w:rPr>
                <w:color w:val="auto"/>
                <w:sz w:val="20"/>
                <w:szCs w:val="20"/>
              </w:rPr>
              <w:t>- 30.06.2027 r.</w:t>
            </w:r>
          </w:p>
        </w:tc>
        <w:tc>
          <w:tcPr>
            <w:tcW w:w="3419" w:type="dxa"/>
            <w:tcBorders>
              <w:top w:val="single" w:sz="4" w:space="0" w:color="000000"/>
              <w:left w:val="nil"/>
              <w:bottom w:val="single" w:sz="4" w:space="0" w:color="000000"/>
              <w:right w:val="single" w:sz="4" w:space="0" w:color="000000"/>
            </w:tcBorders>
          </w:tcPr>
          <w:p w14:paraId="50047E65" w14:textId="77777777" w:rsidR="004A009C" w:rsidRDefault="004A009C"/>
        </w:tc>
      </w:tr>
      <w:tr w:rsidR="004A009C" w14:paraId="4CFE78A7" w14:textId="77777777" w:rsidTr="001F6733">
        <w:trPr>
          <w:trHeight w:val="528"/>
        </w:trPr>
        <w:tc>
          <w:tcPr>
            <w:tcW w:w="281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1CDB240" w14:textId="77777777" w:rsidR="004A009C" w:rsidRDefault="00B365B2">
            <w:pPr>
              <w:spacing w:after="125"/>
            </w:pPr>
            <w:r>
              <w:rPr>
                <w:rFonts w:ascii="Times New Roman" w:eastAsia="Times New Roman" w:hAnsi="Times New Roman" w:cs="Times New Roman"/>
                <w:sz w:val="20"/>
              </w:rPr>
              <w:t xml:space="preserve"> </w:t>
            </w:r>
          </w:p>
          <w:p w14:paraId="0B3C2608" w14:textId="77777777" w:rsidR="004A009C" w:rsidRDefault="00B365B2">
            <w:pPr>
              <w:ind w:right="328"/>
              <w:jc w:val="both"/>
            </w:pPr>
            <w:r>
              <w:rPr>
                <w:rFonts w:ascii="Times New Roman" w:eastAsia="Times New Roman" w:hAnsi="Times New Roman" w:cs="Times New Roman"/>
                <w:sz w:val="20"/>
              </w:rPr>
              <w:t xml:space="preserve">Opis przedsięwzięcia deweloperskiego lub zadania inwestycyjnego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1D8BC026" w14:textId="77777777" w:rsidR="004A009C" w:rsidRDefault="00B365B2">
            <w:pPr>
              <w:ind w:left="2"/>
            </w:pPr>
            <w:r>
              <w:rPr>
                <w:rFonts w:ascii="Times New Roman" w:eastAsia="Times New Roman" w:hAnsi="Times New Roman" w:cs="Times New Roman"/>
                <w:sz w:val="20"/>
              </w:rPr>
              <w:t xml:space="preserve">Liczba budynków  </w:t>
            </w:r>
          </w:p>
        </w:tc>
        <w:tc>
          <w:tcPr>
            <w:tcW w:w="3419" w:type="dxa"/>
            <w:tcBorders>
              <w:top w:val="single" w:sz="4" w:space="0" w:color="000000"/>
              <w:left w:val="single" w:sz="4" w:space="0" w:color="000000"/>
              <w:bottom w:val="single" w:sz="4" w:space="0" w:color="000000"/>
              <w:right w:val="single" w:sz="4" w:space="0" w:color="000000"/>
            </w:tcBorders>
            <w:vAlign w:val="center"/>
          </w:tcPr>
          <w:p w14:paraId="049F8721" w14:textId="12BF7428" w:rsidR="00552FFF" w:rsidRPr="00602D99" w:rsidRDefault="00552FFF" w:rsidP="00552FFF">
            <w:pPr>
              <w:ind w:left="4"/>
              <w:rPr>
                <w:rFonts w:ascii="Times New Roman" w:hAnsi="Times New Roman" w:cs="Times New Roman"/>
                <w:sz w:val="20"/>
                <w:szCs w:val="20"/>
              </w:rPr>
            </w:pPr>
            <w:r w:rsidRPr="00602D99">
              <w:rPr>
                <w:rFonts w:ascii="Times New Roman" w:hAnsi="Times New Roman" w:cs="Times New Roman"/>
                <w:sz w:val="20"/>
                <w:szCs w:val="20"/>
              </w:rPr>
              <w:t xml:space="preserve">Zadanie inwestycyjne nr </w:t>
            </w:r>
            <w:r w:rsidR="007D472A">
              <w:rPr>
                <w:rFonts w:ascii="Times New Roman" w:hAnsi="Times New Roman" w:cs="Times New Roman"/>
                <w:sz w:val="20"/>
                <w:szCs w:val="20"/>
              </w:rPr>
              <w:t>1</w:t>
            </w:r>
            <w:r w:rsidRPr="00602D99">
              <w:rPr>
                <w:rFonts w:ascii="Times New Roman" w:hAnsi="Times New Roman" w:cs="Times New Roman"/>
                <w:sz w:val="20"/>
                <w:szCs w:val="20"/>
              </w:rPr>
              <w:t xml:space="preserve">: </w:t>
            </w:r>
          </w:p>
          <w:p w14:paraId="0E7922BE" w14:textId="06CBDBD3" w:rsidR="00552FFF" w:rsidRDefault="00552FFF" w:rsidP="00552FFF">
            <w:pPr>
              <w:spacing w:line="256" w:lineRule="auto"/>
              <w:ind w:left="4"/>
              <w:rPr>
                <w:rFonts w:ascii="Times New Roman" w:hAnsi="Times New Roman" w:cs="Times New Roman"/>
                <w:sz w:val="20"/>
                <w:szCs w:val="20"/>
              </w:rPr>
            </w:pPr>
            <w:r w:rsidRPr="00552FFF">
              <w:rPr>
                <w:rFonts w:ascii="Times New Roman" w:hAnsi="Times New Roman" w:cs="Times New Roman"/>
                <w:sz w:val="20"/>
                <w:szCs w:val="20"/>
              </w:rPr>
              <w:t>2 budynki mieszkalne jednorodzinne w zabudowie bliźniaczej</w:t>
            </w:r>
            <w:r w:rsidR="00331110">
              <w:rPr>
                <w:rFonts w:ascii="Times New Roman" w:hAnsi="Times New Roman" w:cs="Times New Roman"/>
                <w:sz w:val="20"/>
                <w:szCs w:val="20"/>
              </w:rPr>
              <w:t xml:space="preserve"> (po 2 lokale w każdym)</w:t>
            </w:r>
            <w:r w:rsidRPr="00552FFF">
              <w:rPr>
                <w:rFonts w:ascii="Times New Roman" w:hAnsi="Times New Roman" w:cs="Times New Roman"/>
                <w:sz w:val="20"/>
                <w:szCs w:val="20"/>
              </w:rPr>
              <w:t xml:space="preserve"> (</w:t>
            </w:r>
            <w:r w:rsidR="00331110">
              <w:rPr>
                <w:rFonts w:ascii="Times New Roman" w:hAnsi="Times New Roman" w:cs="Times New Roman"/>
                <w:sz w:val="20"/>
                <w:szCs w:val="20"/>
              </w:rPr>
              <w:t>BM1 + BM2</w:t>
            </w:r>
            <w:r w:rsidRPr="00552FFF">
              <w:rPr>
                <w:rFonts w:ascii="Times New Roman" w:hAnsi="Times New Roman" w:cs="Times New Roman"/>
                <w:sz w:val="20"/>
                <w:szCs w:val="20"/>
              </w:rPr>
              <w:t>)</w:t>
            </w:r>
          </w:p>
          <w:p w14:paraId="48357642" w14:textId="77777777" w:rsidR="00331110" w:rsidRPr="00552FFF" w:rsidRDefault="00331110" w:rsidP="00552FFF">
            <w:pPr>
              <w:spacing w:line="256" w:lineRule="auto"/>
              <w:ind w:left="4"/>
              <w:rPr>
                <w:rFonts w:ascii="Times New Roman" w:hAnsi="Times New Roman" w:cs="Times New Roman"/>
                <w:sz w:val="20"/>
                <w:szCs w:val="20"/>
              </w:rPr>
            </w:pPr>
          </w:p>
          <w:p w14:paraId="7E109F1E" w14:textId="77777777" w:rsidR="00552FFF" w:rsidRPr="00552FFF" w:rsidRDefault="00552FFF" w:rsidP="00552FFF">
            <w:pPr>
              <w:spacing w:line="256" w:lineRule="auto"/>
              <w:ind w:left="4"/>
              <w:rPr>
                <w:rFonts w:ascii="Times New Roman" w:hAnsi="Times New Roman" w:cs="Times New Roman"/>
                <w:sz w:val="20"/>
                <w:szCs w:val="20"/>
              </w:rPr>
            </w:pPr>
            <w:r w:rsidRPr="00552FFF">
              <w:rPr>
                <w:rFonts w:ascii="Times New Roman" w:hAnsi="Times New Roman" w:cs="Times New Roman"/>
                <w:sz w:val="20"/>
                <w:szCs w:val="20"/>
              </w:rPr>
              <w:t>Pozwolenie  na budowę obejmuje budowę:</w:t>
            </w:r>
          </w:p>
          <w:p w14:paraId="6E1F0B14" w14:textId="7EC8F69A" w:rsidR="00552FFF" w:rsidRDefault="00331110" w:rsidP="00552FFF">
            <w:pPr>
              <w:spacing w:line="259" w:lineRule="auto"/>
              <w:rPr>
                <w:rFonts w:ascii="Times New Roman" w:hAnsi="Times New Roman" w:cs="Times New Roman"/>
                <w:sz w:val="20"/>
                <w:szCs w:val="20"/>
              </w:rPr>
            </w:pPr>
            <w:r>
              <w:rPr>
                <w:rFonts w:ascii="Times New Roman" w:hAnsi="Times New Roman" w:cs="Times New Roman"/>
                <w:sz w:val="20"/>
                <w:szCs w:val="20"/>
              </w:rPr>
              <w:t>5</w:t>
            </w:r>
            <w:r w:rsidR="00552FFF" w:rsidRPr="00602D99">
              <w:rPr>
                <w:rFonts w:ascii="Times New Roman" w:hAnsi="Times New Roman" w:cs="Times New Roman"/>
                <w:sz w:val="20"/>
                <w:szCs w:val="20"/>
              </w:rPr>
              <w:t xml:space="preserve"> budynk</w:t>
            </w:r>
            <w:r>
              <w:rPr>
                <w:rFonts w:ascii="Times New Roman" w:hAnsi="Times New Roman" w:cs="Times New Roman"/>
                <w:sz w:val="20"/>
                <w:szCs w:val="20"/>
              </w:rPr>
              <w:t>ów</w:t>
            </w:r>
            <w:r w:rsidR="00552FFF" w:rsidRPr="00602D99">
              <w:rPr>
                <w:rFonts w:ascii="Times New Roman" w:hAnsi="Times New Roman" w:cs="Times New Roman"/>
                <w:sz w:val="20"/>
                <w:szCs w:val="20"/>
              </w:rPr>
              <w:t xml:space="preserve"> mieszkaln</w:t>
            </w:r>
            <w:r>
              <w:rPr>
                <w:rFonts w:ascii="Times New Roman" w:hAnsi="Times New Roman" w:cs="Times New Roman"/>
                <w:sz w:val="20"/>
                <w:szCs w:val="20"/>
              </w:rPr>
              <w:t>ych</w:t>
            </w:r>
            <w:r w:rsidR="00552FFF" w:rsidRPr="00602D99">
              <w:rPr>
                <w:rFonts w:ascii="Times New Roman" w:hAnsi="Times New Roman" w:cs="Times New Roman"/>
                <w:sz w:val="20"/>
                <w:szCs w:val="20"/>
              </w:rPr>
              <w:t xml:space="preserve"> jednorodzinn</w:t>
            </w:r>
            <w:r>
              <w:rPr>
                <w:rFonts w:ascii="Times New Roman" w:hAnsi="Times New Roman" w:cs="Times New Roman"/>
                <w:sz w:val="20"/>
                <w:szCs w:val="20"/>
              </w:rPr>
              <w:t>ych</w:t>
            </w:r>
            <w:r w:rsidR="00552FFF" w:rsidRPr="00602D99">
              <w:rPr>
                <w:rFonts w:ascii="Times New Roman" w:hAnsi="Times New Roman" w:cs="Times New Roman"/>
                <w:sz w:val="20"/>
                <w:szCs w:val="20"/>
              </w:rPr>
              <w:t xml:space="preserve"> w zabudowie bliźniaczej</w:t>
            </w:r>
            <w:r>
              <w:rPr>
                <w:rFonts w:ascii="Times New Roman" w:hAnsi="Times New Roman" w:cs="Times New Roman"/>
                <w:sz w:val="20"/>
                <w:szCs w:val="20"/>
              </w:rPr>
              <w:t xml:space="preserve"> i wolnostojącej (po 2 lokale w każdym).</w:t>
            </w:r>
          </w:p>
          <w:p w14:paraId="47925646" w14:textId="77777777" w:rsidR="00331110" w:rsidRPr="00602D99" w:rsidRDefault="00331110" w:rsidP="00552FFF">
            <w:pPr>
              <w:spacing w:line="259" w:lineRule="auto"/>
              <w:rPr>
                <w:rFonts w:ascii="Times New Roman" w:hAnsi="Times New Roman" w:cs="Times New Roman"/>
                <w:sz w:val="20"/>
                <w:szCs w:val="20"/>
              </w:rPr>
            </w:pPr>
          </w:p>
          <w:p w14:paraId="0E1A9378" w14:textId="35666C59" w:rsidR="00552FFF" w:rsidRPr="00552FFF" w:rsidRDefault="00552FFF" w:rsidP="00552FFF">
            <w:pPr>
              <w:rPr>
                <w:rFonts w:ascii="Times New Roman" w:hAnsi="Times New Roman" w:cs="Times New Roman"/>
                <w:sz w:val="20"/>
                <w:szCs w:val="20"/>
              </w:rPr>
            </w:pPr>
            <w:r w:rsidRPr="00552FFF">
              <w:rPr>
                <w:rFonts w:ascii="Times New Roman" w:hAnsi="Times New Roman" w:cs="Times New Roman"/>
                <w:sz w:val="20"/>
                <w:szCs w:val="20"/>
              </w:rPr>
              <w:t xml:space="preserve">Przedsięwzięcie zostało podzielone na </w:t>
            </w:r>
            <w:r w:rsidR="00331110">
              <w:rPr>
                <w:rFonts w:ascii="Times New Roman" w:hAnsi="Times New Roman" w:cs="Times New Roman"/>
                <w:sz w:val="20"/>
                <w:szCs w:val="20"/>
              </w:rPr>
              <w:t>3</w:t>
            </w:r>
            <w:r w:rsidRPr="00552FFF">
              <w:rPr>
                <w:rFonts w:ascii="Times New Roman" w:hAnsi="Times New Roman" w:cs="Times New Roman"/>
                <w:sz w:val="20"/>
                <w:szCs w:val="20"/>
              </w:rPr>
              <w:t xml:space="preserve"> zadania inwestycyjne (Zadanie inwestycyjne nr 1 –</w:t>
            </w:r>
            <w:r w:rsidR="007D472A">
              <w:rPr>
                <w:rFonts w:ascii="Times New Roman" w:hAnsi="Times New Roman" w:cs="Times New Roman"/>
                <w:sz w:val="20"/>
                <w:szCs w:val="20"/>
              </w:rPr>
              <w:t xml:space="preserve"> </w:t>
            </w:r>
            <w:r w:rsidR="00331110">
              <w:rPr>
                <w:rFonts w:ascii="Times New Roman" w:hAnsi="Times New Roman" w:cs="Times New Roman"/>
                <w:sz w:val="20"/>
                <w:szCs w:val="20"/>
              </w:rPr>
              <w:t>BM1 + BM2)</w:t>
            </w:r>
            <w:r w:rsidRPr="00552FFF">
              <w:rPr>
                <w:rFonts w:ascii="Times New Roman" w:hAnsi="Times New Roman" w:cs="Times New Roman"/>
                <w:sz w:val="20"/>
                <w:szCs w:val="20"/>
              </w:rPr>
              <w:t xml:space="preserve">, Zadanie inwestycyjne nr 2 </w:t>
            </w:r>
            <w:r w:rsidR="00331110">
              <w:rPr>
                <w:rFonts w:ascii="Times New Roman" w:hAnsi="Times New Roman" w:cs="Times New Roman"/>
                <w:sz w:val="20"/>
                <w:szCs w:val="20"/>
              </w:rPr>
              <w:t>–</w:t>
            </w:r>
            <w:r w:rsidRPr="00552FFF">
              <w:rPr>
                <w:rFonts w:ascii="Times New Roman" w:hAnsi="Times New Roman" w:cs="Times New Roman"/>
                <w:sz w:val="20"/>
                <w:szCs w:val="20"/>
              </w:rPr>
              <w:t xml:space="preserve"> </w:t>
            </w:r>
            <w:r w:rsidR="00331110">
              <w:rPr>
                <w:rFonts w:ascii="Times New Roman" w:hAnsi="Times New Roman" w:cs="Times New Roman"/>
                <w:sz w:val="20"/>
                <w:szCs w:val="20"/>
              </w:rPr>
              <w:t>BM3</w:t>
            </w:r>
            <w:r w:rsidR="007D472A">
              <w:rPr>
                <w:rFonts w:ascii="Times New Roman" w:hAnsi="Times New Roman" w:cs="Times New Roman"/>
                <w:sz w:val="20"/>
                <w:szCs w:val="20"/>
              </w:rPr>
              <w:t xml:space="preserve"> +</w:t>
            </w:r>
            <w:r w:rsidRPr="00552FFF">
              <w:rPr>
                <w:rFonts w:ascii="Times New Roman" w:hAnsi="Times New Roman" w:cs="Times New Roman"/>
                <w:sz w:val="20"/>
                <w:szCs w:val="20"/>
              </w:rPr>
              <w:t xml:space="preserve"> </w:t>
            </w:r>
            <w:r w:rsidR="00331110">
              <w:rPr>
                <w:rFonts w:ascii="Times New Roman" w:hAnsi="Times New Roman" w:cs="Times New Roman"/>
                <w:sz w:val="20"/>
                <w:szCs w:val="20"/>
              </w:rPr>
              <w:t>BM4</w:t>
            </w:r>
            <w:r w:rsidRPr="00552FFF">
              <w:rPr>
                <w:rFonts w:ascii="Times New Roman" w:hAnsi="Times New Roman" w:cs="Times New Roman"/>
                <w:sz w:val="20"/>
                <w:szCs w:val="20"/>
              </w:rPr>
              <w:t>)</w:t>
            </w:r>
            <w:r w:rsidR="00331110">
              <w:rPr>
                <w:rFonts w:ascii="Times New Roman" w:hAnsi="Times New Roman" w:cs="Times New Roman"/>
                <w:sz w:val="20"/>
                <w:szCs w:val="20"/>
              </w:rPr>
              <w:t>, (zadanie inwestycyjne nr 3 – BM5)</w:t>
            </w:r>
          </w:p>
          <w:p w14:paraId="155730F9" w14:textId="2C9810C0" w:rsidR="004A009C" w:rsidRDefault="004A009C" w:rsidP="00552FFF">
            <w:pPr>
              <w:ind w:left="4"/>
            </w:pPr>
          </w:p>
        </w:tc>
      </w:tr>
      <w:tr w:rsidR="004A009C" w14:paraId="5BAB1E24" w14:textId="77777777">
        <w:trPr>
          <w:trHeight w:val="988"/>
        </w:trPr>
        <w:tc>
          <w:tcPr>
            <w:tcW w:w="0" w:type="auto"/>
            <w:vMerge/>
            <w:tcBorders>
              <w:top w:val="nil"/>
              <w:left w:val="single" w:sz="4" w:space="0" w:color="000000"/>
              <w:bottom w:val="single" w:sz="4" w:space="0" w:color="000000"/>
              <w:right w:val="single" w:sz="4" w:space="0" w:color="000000"/>
            </w:tcBorders>
          </w:tcPr>
          <w:p w14:paraId="5967815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72DA15A3" w14:textId="77777777" w:rsidR="004A009C" w:rsidRDefault="00B365B2">
            <w:pPr>
              <w:ind w:left="2" w:right="53"/>
              <w:jc w:val="both"/>
            </w:pPr>
            <w:r>
              <w:rPr>
                <w:rFonts w:ascii="Times New Roman" w:eastAsia="Times New Roman" w:hAnsi="Times New Roman" w:cs="Times New Roman"/>
                <w:sz w:val="20"/>
              </w:rPr>
              <w:t xml:space="preserve">Rozmieszczenie budynków na nieruchomości (należy podać minimalny odstęp między budynkami) </w:t>
            </w:r>
          </w:p>
        </w:tc>
        <w:tc>
          <w:tcPr>
            <w:tcW w:w="3419" w:type="dxa"/>
            <w:tcBorders>
              <w:top w:val="single" w:sz="4" w:space="0" w:color="000000"/>
              <w:left w:val="single" w:sz="4" w:space="0" w:color="000000"/>
              <w:bottom w:val="single" w:sz="4" w:space="0" w:color="000000"/>
              <w:right w:val="single" w:sz="4" w:space="0" w:color="000000"/>
            </w:tcBorders>
          </w:tcPr>
          <w:p w14:paraId="1524A772" w14:textId="2E773D23" w:rsidR="00CD69B1" w:rsidRPr="00CD69B1" w:rsidRDefault="00CD69B1" w:rsidP="00CD69B1">
            <w:pPr>
              <w:ind w:left="4"/>
              <w:rPr>
                <w:rFonts w:ascii="Times New Roman" w:hAnsi="Times New Roman" w:cs="Times New Roman"/>
                <w:sz w:val="20"/>
                <w:szCs w:val="20"/>
              </w:rPr>
            </w:pPr>
            <w:r w:rsidRPr="00CD69B1">
              <w:rPr>
                <w:rFonts w:ascii="Times New Roman" w:hAnsi="Times New Roman" w:cs="Times New Roman"/>
                <w:sz w:val="20"/>
                <w:szCs w:val="20"/>
              </w:rPr>
              <w:t xml:space="preserve">Minimalny odstęp między budynkami </w:t>
            </w:r>
          </w:p>
          <w:p w14:paraId="337CF40B" w14:textId="3A388E6A" w:rsidR="004A009C" w:rsidRDefault="00CD69B1" w:rsidP="00CD69B1">
            <w:pPr>
              <w:ind w:left="4"/>
            </w:pPr>
            <w:r w:rsidRPr="00CD69B1">
              <w:rPr>
                <w:rFonts w:ascii="Times New Roman" w:hAnsi="Times New Roman" w:cs="Times New Roman"/>
                <w:sz w:val="20"/>
                <w:szCs w:val="20"/>
              </w:rPr>
              <w:t>8 m</w:t>
            </w:r>
          </w:p>
        </w:tc>
      </w:tr>
      <w:tr w:rsidR="001F6733" w14:paraId="5077BA5D" w14:textId="77777777" w:rsidTr="001F6733">
        <w:trPr>
          <w:trHeight w:val="98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B0243E" w14:textId="77777777" w:rsidR="001F6733" w:rsidRDefault="001F6733">
            <w:r>
              <w:rPr>
                <w:rFonts w:ascii="Times New Roman" w:eastAsia="Times New Roman" w:hAnsi="Times New Roman" w:cs="Times New Roman"/>
                <w:sz w:val="20"/>
              </w:rPr>
              <w:t xml:space="preserve">Sposób pomiaru powierzchni użytkowej lokalu mieszkalnego albo domu jednorodzinnego </w:t>
            </w:r>
          </w:p>
        </w:tc>
        <w:tc>
          <w:tcPr>
            <w:tcW w:w="6838" w:type="dxa"/>
            <w:gridSpan w:val="2"/>
            <w:tcBorders>
              <w:top w:val="single" w:sz="4" w:space="0" w:color="000000"/>
              <w:left w:val="single" w:sz="4" w:space="0" w:color="000000"/>
              <w:bottom w:val="single" w:sz="4" w:space="0" w:color="000000"/>
              <w:right w:val="single" w:sz="4" w:space="0" w:color="000000"/>
            </w:tcBorders>
          </w:tcPr>
          <w:p w14:paraId="6B3E4F5E" w14:textId="6E20921B" w:rsidR="001F6733" w:rsidRDefault="001F6733">
            <w:r>
              <w:rPr>
                <w:rFonts w:ascii="Times New Roman" w:eastAsia="Times New Roman" w:hAnsi="Times New Roman" w:cs="Times New Roman"/>
                <w:sz w:val="20"/>
              </w:rPr>
              <w:t>Pomiar powierzchni lokalu  mieszkalnego zostanie dokonany zgodnie z normą  PN-ISO 9836:20</w:t>
            </w:r>
            <w:r w:rsidR="00DD152C">
              <w:rPr>
                <w:rFonts w:ascii="Times New Roman" w:eastAsia="Times New Roman" w:hAnsi="Times New Roman" w:cs="Times New Roman"/>
                <w:sz w:val="20"/>
              </w:rPr>
              <w:t>22</w:t>
            </w:r>
            <w:r>
              <w:rPr>
                <w:rFonts w:ascii="Times New Roman" w:eastAsia="Times New Roman" w:hAnsi="Times New Roman" w:cs="Times New Roman"/>
                <w:sz w:val="20"/>
              </w:rPr>
              <w:t>-</w:t>
            </w:r>
            <w:r w:rsidR="00DD152C">
              <w:rPr>
                <w:rFonts w:ascii="Times New Roman" w:eastAsia="Times New Roman" w:hAnsi="Times New Roman" w:cs="Times New Roman"/>
                <w:sz w:val="20"/>
              </w:rPr>
              <w:t>07</w:t>
            </w:r>
          </w:p>
        </w:tc>
      </w:tr>
      <w:tr w:rsidR="004A009C" w14:paraId="2206F595" w14:textId="77777777" w:rsidTr="001F6733">
        <w:trPr>
          <w:trHeight w:val="758"/>
        </w:trPr>
        <w:tc>
          <w:tcPr>
            <w:tcW w:w="281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C356D4F" w14:textId="77777777" w:rsidR="004A009C" w:rsidRDefault="00B365B2">
            <w:pPr>
              <w:ind w:right="258"/>
            </w:pPr>
            <w:r>
              <w:rPr>
                <w:rFonts w:ascii="Times New Roman" w:eastAsia="Times New Roman" w:hAnsi="Times New Roman" w:cs="Times New Roman"/>
                <w:sz w:val="20"/>
              </w:rPr>
              <w:t xml:space="preserve">Zamierzony sposób i procentowy udział źródeł finansowania przedsięwzięcia deweloperskiego lub zadania inwestycyjnego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48AF3C47" w14:textId="77777777" w:rsidR="004A009C" w:rsidRDefault="00B365B2">
            <w:pPr>
              <w:ind w:left="2"/>
              <w:jc w:val="both"/>
            </w:pPr>
            <w:r>
              <w:rPr>
                <w:rFonts w:ascii="Times New Roman" w:eastAsia="Times New Roman" w:hAnsi="Times New Roman" w:cs="Times New Roman"/>
                <w:sz w:val="20"/>
              </w:rPr>
              <w:t xml:space="preserve">Rodzaj posiadanych środków finansowych – kredyt, środki własne, inne </w:t>
            </w:r>
          </w:p>
        </w:tc>
        <w:tc>
          <w:tcPr>
            <w:tcW w:w="3419" w:type="dxa"/>
            <w:tcBorders>
              <w:top w:val="single" w:sz="4" w:space="0" w:color="000000"/>
              <w:left w:val="single" w:sz="4" w:space="0" w:color="000000"/>
              <w:bottom w:val="single" w:sz="4" w:space="0" w:color="000000"/>
              <w:right w:val="single" w:sz="4" w:space="0" w:color="000000"/>
            </w:tcBorders>
          </w:tcPr>
          <w:p w14:paraId="05A83BB3" w14:textId="029802E7" w:rsidR="004A009C" w:rsidRDefault="00B365B2">
            <w:pPr>
              <w:ind w:left="4"/>
            </w:pPr>
            <w:r>
              <w:rPr>
                <w:rFonts w:ascii="Times New Roman" w:eastAsia="Times New Roman" w:hAnsi="Times New Roman" w:cs="Times New Roman"/>
                <w:sz w:val="20"/>
              </w:rPr>
              <w:t xml:space="preserve"> </w:t>
            </w:r>
            <w:r w:rsidR="001F6733">
              <w:rPr>
                <w:rFonts w:ascii="Times New Roman" w:eastAsia="Times New Roman" w:hAnsi="Times New Roman" w:cs="Times New Roman"/>
                <w:sz w:val="20"/>
              </w:rPr>
              <w:t>Wpłaty klientów w r</w:t>
            </w:r>
            <w:r w:rsidR="00AF4F76">
              <w:rPr>
                <w:rFonts w:ascii="Times New Roman" w:eastAsia="Times New Roman" w:hAnsi="Times New Roman" w:cs="Times New Roman"/>
                <w:sz w:val="20"/>
              </w:rPr>
              <w:t>a</w:t>
            </w:r>
            <w:r w:rsidR="001F6733">
              <w:rPr>
                <w:rFonts w:ascii="Times New Roman" w:eastAsia="Times New Roman" w:hAnsi="Times New Roman" w:cs="Times New Roman"/>
                <w:sz w:val="20"/>
              </w:rPr>
              <w:t xml:space="preserve">chunek </w:t>
            </w:r>
            <w:r w:rsidR="00AF4F76">
              <w:rPr>
                <w:rFonts w:ascii="Times New Roman" w:eastAsia="Times New Roman" w:hAnsi="Times New Roman" w:cs="Times New Roman"/>
                <w:sz w:val="20"/>
              </w:rPr>
              <w:t>powierniczy</w:t>
            </w:r>
          </w:p>
        </w:tc>
      </w:tr>
      <w:tr w:rsidR="004A009C" w14:paraId="440A8905" w14:textId="77777777">
        <w:trPr>
          <w:trHeight w:val="758"/>
        </w:trPr>
        <w:tc>
          <w:tcPr>
            <w:tcW w:w="0" w:type="auto"/>
            <w:vMerge/>
            <w:tcBorders>
              <w:top w:val="nil"/>
              <w:left w:val="single" w:sz="4" w:space="0" w:color="000000"/>
              <w:bottom w:val="single" w:sz="4" w:space="0" w:color="000000"/>
              <w:right w:val="single" w:sz="4" w:space="0" w:color="000000"/>
            </w:tcBorders>
          </w:tcPr>
          <w:p w14:paraId="00080769"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4F10F60D" w14:textId="77777777" w:rsidR="004A009C" w:rsidRDefault="00B365B2">
            <w:pPr>
              <w:ind w:left="2"/>
              <w:jc w:val="both"/>
            </w:pPr>
            <w:r>
              <w:rPr>
                <w:rFonts w:ascii="Times New Roman" w:eastAsia="Times New Roman" w:hAnsi="Times New Roman" w:cs="Times New Roman"/>
                <w:sz w:val="20"/>
              </w:rPr>
              <w:t xml:space="preserve">W następujących instytucjach finansowych (wypełnia się w przypadku kredytu) </w:t>
            </w:r>
          </w:p>
        </w:tc>
        <w:tc>
          <w:tcPr>
            <w:tcW w:w="3419" w:type="dxa"/>
            <w:tcBorders>
              <w:top w:val="single" w:sz="4" w:space="0" w:color="000000"/>
              <w:left w:val="single" w:sz="4" w:space="0" w:color="000000"/>
              <w:bottom w:val="single" w:sz="4" w:space="0" w:color="000000"/>
              <w:right w:val="single" w:sz="4" w:space="0" w:color="000000"/>
            </w:tcBorders>
          </w:tcPr>
          <w:p w14:paraId="58BC1F53" w14:textId="37B6907E" w:rsidR="004A009C" w:rsidRDefault="00B365B2">
            <w:pPr>
              <w:ind w:left="4"/>
            </w:pPr>
            <w:r>
              <w:rPr>
                <w:rFonts w:ascii="Times New Roman" w:eastAsia="Times New Roman" w:hAnsi="Times New Roman" w:cs="Times New Roman"/>
                <w:sz w:val="20"/>
              </w:rPr>
              <w:t xml:space="preserve"> </w:t>
            </w:r>
            <w:r w:rsidR="00D967B0">
              <w:rPr>
                <w:rFonts w:ascii="Times New Roman" w:eastAsia="Times New Roman" w:hAnsi="Times New Roman" w:cs="Times New Roman"/>
                <w:sz w:val="20"/>
              </w:rPr>
              <w:t>Nie dotyczy</w:t>
            </w:r>
          </w:p>
        </w:tc>
      </w:tr>
      <w:tr w:rsidR="004A009C" w14:paraId="7B1F0581" w14:textId="77777777" w:rsidTr="001F6733">
        <w:trPr>
          <w:trHeight w:val="941"/>
        </w:trPr>
        <w:tc>
          <w:tcPr>
            <w:tcW w:w="281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33764CC" w14:textId="77777777" w:rsidR="004A009C" w:rsidRDefault="00B365B2">
            <w:r>
              <w:rPr>
                <w:rFonts w:ascii="Times New Roman" w:eastAsia="Times New Roman" w:hAnsi="Times New Roman" w:cs="Times New Roman"/>
                <w:sz w:val="20"/>
              </w:rPr>
              <w:t xml:space="preserve">Środki ochrony nabywców </w:t>
            </w:r>
          </w:p>
        </w:tc>
        <w:tc>
          <w:tcPr>
            <w:tcW w:w="3419" w:type="dxa"/>
            <w:tcBorders>
              <w:top w:val="single" w:sz="4" w:space="0" w:color="000000"/>
              <w:left w:val="single" w:sz="4" w:space="0" w:color="000000"/>
              <w:bottom w:val="single" w:sz="4" w:space="0" w:color="000000"/>
              <w:right w:val="single" w:sz="4" w:space="0" w:color="000000"/>
            </w:tcBorders>
          </w:tcPr>
          <w:p w14:paraId="5F22DA19" w14:textId="1BC7D046" w:rsidR="004A009C" w:rsidRDefault="00D967B0">
            <w:pPr>
              <w:ind w:left="2"/>
            </w:pPr>
            <w:r>
              <w:rPr>
                <w:rFonts w:ascii="Times New Roman" w:eastAsia="Times New Roman" w:hAnsi="Times New Roman" w:cs="Times New Roman"/>
                <w:sz w:val="20"/>
              </w:rPr>
              <w:t>Otwarty mieszkaniowy rachunek powierniczy prowadzony w Mazowieckim Banku Spółdzielczym z siedzibą w Łomiankach</w:t>
            </w:r>
          </w:p>
        </w:tc>
        <w:tc>
          <w:tcPr>
            <w:tcW w:w="3419" w:type="dxa"/>
            <w:tcBorders>
              <w:top w:val="single" w:sz="4" w:space="0" w:color="000000"/>
              <w:left w:val="single" w:sz="4" w:space="0" w:color="000000"/>
              <w:bottom w:val="single" w:sz="4" w:space="0" w:color="000000"/>
              <w:right w:val="single" w:sz="4" w:space="0" w:color="000000"/>
            </w:tcBorders>
          </w:tcPr>
          <w:p w14:paraId="163B4EFD" w14:textId="77777777" w:rsidR="00D967B0" w:rsidRDefault="00D967B0">
            <w:pPr>
              <w:ind w:left="4"/>
            </w:pPr>
          </w:p>
          <w:p w14:paraId="5715D1D0" w14:textId="4332FDB1" w:rsidR="004A009C" w:rsidRDefault="00D967B0">
            <w:pPr>
              <w:ind w:left="4"/>
            </w:pPr>
            <w:r>
              <w:t>-----------------------------------------------</w:t>
            </w:r>
          </w:p>
        </w:tc>
      </w:tr>
      <w:tr w:rsidR="004A009C" w14:paraId="48FF76A5" w14:textId="77777777">
        <w:trPr>
          <w:trHeight w:val="988"/>
        </w:trPr>
        <w:tc>
          <w:tcPr>
            <w:tcW w:w="0" w:type="auto"/>
            <w:vMerge/>
            <w:tcBorders>
              <w:top w:val="nil"/>
              <w:left w:val="single" w:sz="4" w:space="0" w:color="000000"/>
              <w:bottom w:val="single" w:sz="4" w:space="0" w:color="000000"/>
              <w:right w:val="single" w:sz="4" w:space="0" w:color="000000"/>
            </w:tcBorders>
          </w:tcPr>
          <w:p w14:paraId="70232A1C" w14:textId="77777777" w:rsidR="004A009C" w:rsidRDefault="004A009C"/>
        </w:tc>
        <w:tc>
          <w:tcPr>
            <w:tcW w:w="3419" w:type="dxa"/>
            <w:tcBorders>
              <w:top w:val="single" w:sz="4" w:space="0" w:color="000000"/>
              <w:left w:val="single" w:sz="4" w:space="0" w:color="000000"/>
              <w:bottom w:val="single" w:sz="4" w:space="0" w:color="000000"/>
              <w:right w:val="single" w:sz="4" w:space="0" w:color="000000"/>
            </w:tcBorders>
            <w:vAlign w:val="center"/>
          </w:tcPr>
          <w:p w14:paraId="101364F1" w14:textId="77777777" w:rsidR="004A009C" w:rsidRDefault="00B365B2">
            <w:pPr>
              <w:ind w:left="2" w:right="54"/>
              <w:jc w:val="both"/>
            </w:pPr>
            <w:r>
              <w:rPr>
                <w:rFonts w:ascii="Times New Roman" w:eastAsia="Times New Roman" w:hAnsi="Times New Roman" w:cs="Times New Roman"/>
                <w:sz w:val="20"/>
              </w:rPr>
              <w:t>Wysokość stawki procentowej, według której jest obliczana kwota składki na Deweloperski Fundusz Gwarancyjny</w:t>
            </w:r>
            <w:r>
              <w:rPr>
                <w:rFonts w:ascii="Times New Roman" w:eastAsia="Times New Roman" w:hAnsi="Times New Roman" w:cs="Times New Roman"/>
                <w:sz w:val="20"/>
                <w:vertAlign w:val="superscript"/>
              </w:rPr>
              <w:t>7)</w:t>
            </w:r>
            <w:r>
              <w:rPr>
                <w:rFonts w:ascii="Times New Roman" w:eastAsia="Times New Roman" w:hAnsi="Times New Roman" w:cs="Times New Roman"/>
                <w:sz w:val="20"/>
              </w:rPr>
              <w:t xml:space="preserve">  </w:t>
            </w:r>
          </w:p>
        </w:tc>
        <w:tc>
          <w:tcPr>
            <w:tcW w:w="3419" w:type="dxa"/>
            <w:tcBorders>
              <w:top w:val="single" w:sz="4" w:space="0" w:color="000000"/>
              <w:left w:val="single" w:sz="4" w:space="0" w:color="000000"/>
              <w:bottom w:val="single" w:sz="4" w:space="0" w:color="000000"/>
              <w:right w:val="single" w:sz="4" w:space="0" w:color="000000"/>
            </w:tcBorders>
          </w:tcPr>
          <w:p w14:paraId="53143343" w14:textId="5D3B0C44" w:rsidR="004A009C" w:rsidRDefault="00B365B2">
            <w:pPr>
              <w:ind w:left="4"/>
            </w:pPr>
            <w:r>
              <w:rPr>
                <w:rFonts w:ascii="Times New Roman" w:eastAsia="Times New Roman" w:hAnsi="Times New Roman" w:cs="Times New Roman"/>
                <w:sz w:val="20"/>
              </w:rPr>
              <w:t xml:space="preserve"> </w:t>
            </w:r>
            <w:r w:rsidR="00D967B0">
              <w:rPr>
                <w:rFonts w:ascii="Times New Roman" w:eastAsia="Times New Roman" w:hAnsi="Times New Roman" w:cs="Times New Roman"/>
                <w:sz w:val="20"/>
              </w:rPr>
              <w:t>0,45%</w:t>
            </w:r>
          </w:p>
        </w:tc>
      </w:tr>
      <w:tr w:rsidR="00AF4F76" w14:paraId="286D2143" w14:textId="77777777" w:rsidTr="004112E7">
        <w:trPr>
          <w:trHeight w:val="1276"/>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776199" w14:textId="77777777" w:rsidR="00AF4F76" w:rsidRDefault="00AF4F76">
            <w:r>
              <w:rPr>
                <w:rFonts w:ascii="Times New Roman" w:eastAsia="Times New Roman" w:hAnsi="Times New Roman" w:cs="Times New Roman"/>
                <w:sz w:val="20"/>
              </w:rPr>
              <w:t xml:space="preserve">Główne zasady funkcjonowania wybranego rodzaju zabezpieczenia środków nabywcy </w:t>
            </w:r>
          </w:p>
        </w:tc>
        <w:tc>
          <w:tcPr>
            <w:tcW w:w="6838" w:type="dxa"/>
            <w:gridSpan w:val="2"/>
            <w:tcBorders>
              <w:top w:val="single" w:sz="4" w:space="0" w:color="000000"/>
              <w:left w:val="single" w:sz="4" w:space="0" w:color="000000"/>
              <w:bottom w:val="single" w:sz="4" w:space="0" w:color="000000"/>
              <w:right w:val="single" w:sz="4" w:space="0" w:color="000000"/>
            </w:tcBorders>
            <w:vAlign w:val="center"/>
          </w:tcPr>
          <w:p w14:paraId="7A4E68F2" w14:textId="77777777" w:rsidR="00AF4F76" w:rsidRPr="00AF4F76" w:rsidRDefault="00AF4F76" w:rsidP="00AF4F76">
            <w:pPr>
              <w:contextualSpacing/>
              <w:jc w:val="both"/>
              <w:rPr>
                <w:rFonts w:ascii="Times New Roman" w:hAnsi="Times New Roman" w:cs="Times New Roman"/>
                <w:color w:val="auto"/>
                <w:sz w:val="20"/>
                <w:szCs w:val="20"/>
                <w:lang w:eastAsia="en-US"/>
              </w:rPr>
            </w:pPr>
            <w:r>
              <w:rPr>
                <w:rFonts w:ascii="Times New Roman" w:eastAsia="Times New Roman" w:hAnsi="Times New Roman" w:cs="Times New Roman"/>
                <w:sz w:val="20"/>
              </w:rPr>
              <w:t xml:space="preserve"> </w:t>
            </w:r>
            <w:r w:rsidRPr="00AF4F76">
              <w:rPr>
                <w:rFonts w:ascii="Times New Roman" w:hAnsi="Times New Roman" w:cs="Times New Roman"/>
                <w:color w:val="auto"/>
                <w:sz w:val="20"/>
                <w:szCs w:val="20"/>
                <w:lang w:eastAsia="en-US"/>
              </w:rPr>
              <w:t>Otwarty mieszkaniowy rachunek powierniczy funkcjonuje zgodnie z przepisami ustawy z dnia 20 maja 2021 r. o ochronie praw nabywcy lokalu mieszkalnego lub domu jednorodzinnego oraz Deweloperskim Funduszu Gwarancyjnym (dalej: „Ustawa”) - art. 16-19 które stanowią</w:t>
            </w:r>
          </w:p>
          <w:p w14:paraId="2D1CFF15" w14:textId="77777777" w:rsidR="00AF4F76" w:rsidRPr="00AF4F76" w:rsidRDefault="00AF4F76" w:rsidP="00AF4F76">
            <w:pPr>
              <w:contextualSpacing/>
              <w:jc w:val="both"/>
              <w:rPr>
                <w:rFonts w:ascii="Times New Roman" w:hAnsi="Times New Roman" w:cs="Times New Roman"/>
                <w:color w:val="auto"/>
                <w:sz w:val="20"/>
                <w:szCs w:val="20"/>
                <w:lang w:eastAsia="en-US"/>
              </w:rPr>
            </w:pPr>
          </w:p>
          <w:p w14:paraId="4C728326" w14:textId="77777777" w:rsidR="00AF4F76" w:rsidRPr="00AF4F76" w:rsidRDefault="00AF4F76" w:rsidP="00AF4F76">
            <w:pPr>
              <w:ind w:left="2"/>
              <w:contextualSpacing/>
              <w:jc w:val="both"/>
              <w:rPr>
                <w:rFonts w:ascii="Times New Roman" w:hAnsi="Times New Roman" w:cs="Times New Roman"/>
                <w:color w:val="auto"/>
                <w:sz w:val="20"/>
                <w:szCs w:val="20"/>
                <w:u w:val="single"/>
                <w:lang w:eastAsia="en-US"/>
              </w:rPr>
            </w:pPr>
            <w:r w:rsidRPr="00AF4F76">
              <w:rPr>
                <w:rFonts w:ascii="Times New Roman" w:hAnsi="Times New Roman" w:cs="Times New Roman"/>
                <w:color w:val="auto"/>
                <w:sz w:val="20"/>
                <w:szCs w:val="20"/>
                <w:u w:val="single"/>
                <w:lang w:eastAsia="en-US"/>
              </w:rPr>
              <w:t>art. 16</w:t>
            </w:r>
          </w:p>
          <w:p w14:paraId="601E1D52" w14:textId="77777777" w:rsidR="00AF4F76" w:rsidRPr="00AF4F76" w:rsidRDefault="00AF4F76" w:rsidP="00AF4F76">
            <w:pPr>
              <w:ind w:left="2"/>
              <w:contextualSpacing/>
              <w:jc w:val="both"/>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W związku z realizacją przez dewelopera umowy deweloperskiej lub umowy, o której mowa w art. 2 ust. 2 pkt 1 lub 3, bank wypłaca deweloperowi środki pieniężne wpłacone przez nabywcę na otwarty mieszkaniowy rachunek powierniczy, nie wcześniej niż po 30 dniach od dnia zawarcia umowy deweloperskiej i po stwierdzeniu zakończenia danego etapu realizacji przedsięwzięcia deweloperskiego lub zadania inwestycyjnego, w wysokości kwoty stanowiącej iloczyn procentu kosztów danego etapu określonego w harmonogramie przedsięwzięcia deweloperskiego lub zadania inwestycyjnego oraz:</w:t>
            </w:r>
          </w:p>
          <w:p w14:paraId="7E57CECB"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ceny lokalu mieszkalnego albo domu jednorodzinnego albo</w:t>
            </w:r>
          </w:p>
          <w:p w14:paraId="09A53331"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ceny lokalu mieszkalnego i lokalu użytkowego albo domu jednorodzinnego i lokalu użytkowego - w przypadku umowy, o której mowa w art. 2 ust. 2 pkt 1 lub 3.</w:t>
            </w:r>
          </w:p>
          <w:p w14:paraId="21A99294"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W przypadku zakończenia ostatniego etapu przedsięwzięcia deweloperskiego lub zadania inwestycyjnego, określonego w ich harmonogramach,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lub umowy, o której mowa w art. 2 ust. 2 pkt 1 lub 3, w stanie wolnym od obciążeń, praw i roszczeń osób trzecich, z wyjątkiem obciążeń, na które wyraził zgodę nabywca.</w:t>
            </w:r>
          </w:p>
          <w:p w14:paraId="0168FEF4"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 xml:space="preserve">3. W związku z realizacją przez dewelopera umowy, o której mowa w art. 2 ust. 1 pkt 2, 3 lub 5 lub ust. 2 pkt 2 lub 4, bank wypłaca deweloperowi środki pieniężne wpłacone przez nabywcę na otwarty mieszkaniowy rachunek powierniczy, nie wcześniej niż po 30 dniach od dnia zawarcia umowy, o której mowa w art. 2 ust. 1 pkt 2, 3 lub 5, z wyjątkiem kwoty stanowiącej iloczyn procentu kosztów ostatniego </w:t>
            </w:r>
            <w:r w:rsidRPr="00AF4F76">
              <w:rPr>
                <w:rFonts w:ascii="Times New Roman" w:hAnsi="Times New Roman" w:cs="Times New Roman"/>
                <w:color w:val="auto"/>
                <w:sz w:val="20"/>
                <w:szCs w:val="20"/>
                <w:lang w:eastAsia="en-US"/>
              </w:rPr>
              <w:lastRenderedPageBreak/>
              <w:t>etapu określonego w harmonogramie przedsięwzięcia deweloperskiego lub zadania inwestycyjnego oraz:</w:t>
            </w:r>
          </w:p>
          <w:p w14:paraId="3409792F"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ceny lokalu mieszkalnego albo domu jednorodzinnego albo</w:t>
            </w:r>
          </w:p>
          <w:p w14:paraId="6A7ACFCC"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ceny lokalu mieszkalnego i lokalu użytkowego albo domu jednorodzinnego i lokalu użytkowego - w przypadku umowy, o której mowa w art. 2 ust. 2 pkt 2 lub 4.</w:t>
            </w:r>
          </w:p>
          <w:p w14:paraId="0482B4A5"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4. Kwotę należną za realizację ostatniego etapu przedsięwzięcia deweloperskiego lub zadania inwestycyjnego, o której mowa w ust. 3, bank wypłaca deweloperowi po otrzymaniu wypisu aktu notarialnego umowy przenoszącej na nabywcę prawa wynikające z umowy, o której mowa w art. 2 ust. 1 pkt 2, 3 lub 5 lub ust. 2 pkt 2 lub 4, w stanie wolnym od obciążeń, praw i roszczeń osób trzecich, z wyjątkiem obciążeń, na które wyraził zgodę nabywca.</w:t>
            </w:r>
          </w:p>
          <w:p w14:paraId="2558CC8C" w14:textId="77777777" w:rsidR="00AF4F76" w:rsidRPr="00AF4F76" w:rsidRDefault="00AF4F76" w:rsidP="00AF4F76">
            <w:pPr>
              <w:ind w:left="2"/>
              <w:contextualSpacing/>
              <w:rPr>
                <w:rFonts w:ascii="Times New Roman" w:hAnsi="Times New Roman" w:cs="Times New Roman"/>
                <w:color w:val="auto"/>
                <w:sz w:val="20"/>
                <w:szCs w:val="20"/>
                <w:u w:val="single"/>
                <w:lang w:eastAsia="en-US"/>
              </w:rPr>
            </w:pPr>
            <w:r w:rsidRPr="00AF4F76">
              <w:rPr>
                <w:rFonts w:ascii="Times New Roman" w:hAnsi="Times New Roman" w:cs="Times New Roman"/>
                <w:color w:val="auto"/>
                <w:sz w:val="20"/>
                <w:szCs w:val="20"/>
                <w:u w:val="single"/>
                <w:lang w:eastAsia="en-US"/>
              </w:rPr>
              <w:t>art. 17</w:t>
            </w:r>
          </w:p>
          <w:p w14:paraId="5AABEFF3"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Bank dokonuje kontroli zakończenia każdego z etapów przedsięwzięcia deweloperskiego lub zadania inwestycyjnego przed wypłatą środków pieniężnych, o których mowa w art. 16 ust. 1 i 3.</w:t>
            </w:r>
          </w:p>
          <w:p w14:paraId="112115FF"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W trakcie kontroli bank ma prawo wglądu do rachunków bankowych dewelopera oraz kontroli dokumentacji w zakresie dotyczącym przedsięwzięcia deweloperskiego lub zadania inwestycyjnego.</w:t>
            </w:r>
          </w:p>
          <w:p w14:paraId="3D558D83"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3. Koszty kontroli ponosi deweloper.</w:t>
            </w:r>
          </w:p>
          <w:p w14:paraId="1622A512"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4. Kontrola obejmuje:</w:t>
            </w:r>
          </w:p>
          <w:p w14:paraId="4A236C25"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sprawdzenie, czy:</w:t>
            </w:r>
          </w:p>
          <w:p w14:paraId="4BF8A1A8"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a) 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art. 38 ust. 2, w przypadku gdy deweloper nie jest właścicielem albo użytkownikiem wieczystym nieruchomości,</w:t>
            </w:r>
          </w:p>
          <w:p w14:paraId="1C5E782F"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b) wobec dewelopera nie zostało wszczęte postępowanie restrukturyzacyjne albo upadłościowe, przez weryfikację wpisu w Krajowym Rejestrze Sądowym oraz informacji zawartych w Krajowym Rejestrze Zadłużonych,</w:t>
            </w:r>
          </w:p>
          <w:p w14:paraId="6F3567DB"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 xml:space="preserve">c) deweloper posiada pozwolenie na budowę albo dokonał zgłoszenia budowy, o której mowa w </w:t>
            </w:r>
            <w:hyperlink r:id="rId11" w:anchor="/document/16796118?unitId=art(29)ust(1)pkt(1)&amp;cm=DOCUMENT" w:history="1">
              <w:r w:rsidRPr="00AF4F76">
                <w:rPr>
                  <w:rFonts w:ascii="Times New Roman" w:hAnsi="Times New Roman" w:cs="Times New Roman"/>
                  <w:color w:val="0563C1"/>
                  <w:sz w:val="20"/>
                  <w:szCs w:val="20"/>
                  <w:u w:val="single"/>
                  <w:lang w:eastAsia="en-US"/>
                </w:rPr>
                <w:t>art. 29 ust. 1 pkt 1</w:t>
              </w:r>
            </w:hyperlink>
            <w:r w:rsidRPr="00AF4F76">
              <w:rPr>
                <w:rFonts w:ascii="Times New Roman" w:hAnsi="Times New Roman" w:cs="Times New Roman"/>
                <w:color w:val="auto"/>
                <w:sz w:val="20"/>
                <w:szCs w:val="20"/>
                <w:lang w:eastAsia="en-US"/>
              </w:rPr>
              <w:t xml:space="preserve"> ustawy z dnia 7 lipca 1994 r. - Prawo budowlane, do którego organ administracji architektoniczno-budowlanej nie wniósł sprzeciwu,</w:t>
            </w:r>
          </w:p>
          <w:p w14:paraId="6EDE3305"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d) planowane przez dewelopera przeznaczenie środków, które będą wypłacone z otwartego mieszkaniowego rachunku powierniczego, jest zgodne ze sposobem wydatkowania środków określonym w art. 13,</w:t>
            </w:r>
          </w:p>
          <w:p w14:paraId="5D582766"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e) wydatkowanie środków wypłaconych z otwartego mieszkaniowego rachunku powierniczego jest zgodne ze sposobem wydatkowania środków określonym w art. 13,</w:t>
            </w:r>
          </w:p>
          <w:p w14:paraId="19EC5324"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f) deweloper nie zalega z podatkami i składkami na ubezpieczenie społeczne i zdrowotne,</w:t>
            </w:r>
          </w:p>
          <w:p w14:paraId="1A3E52D0"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g) deweloper uregulował wymagalne i bezsporne zobowiązania pieniężne wobec wykonawców lub podwykonawców,</w:t>
            </w:r>
          </w:p>
          <w:p w14:paraId="63FBBB05"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h) deweloper dokonał wpłaty składki, o której mowa w art. 49, w należnej wysokości,</w:t>
            </w:r>
          </w:p>
          <w:p w14:paraId="4B429744"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i) deweloper nie zalega ze zobowiązaniami wobec nabywców, którzy w ramach danego przedsięwzięcia deweloperskiego lub zadania inwestycyjnego odstąpili od umowy na podstawie art. 43 ust. 1-6,</w:t>
            </w:r>
          </w:p>
          <w:p w14:paraId="54B1ED7C"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j) deweloper nie zalega wobec Deweloperskiego Funduszu Gwarancyjnego ze zobowiązaniem wynikającym z realizacji przez ten fundusz zwrotu wpłat nabywcy w sytuacji, o której mowa w art. 48 ust. 1 pkt 6;</w:t>
            </w:r>
          </w:p>
          <w:p w14:paraId="48F08976"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ustalenie przez wyznaczoną przez bank osobę posiadającą odpowiednie uprawnienia budowlane, czy deweloper zakończył określony w harmonogramie etap realizacji przedsięwzięcia deweloperskiego lub zadania inwestycyjnego, polegające w szczególności na sprawdzeniu:</w:t>
            </w:r>
          </w:p>
          <w:p w14:paraId="4ED63E6C"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a) wpisu kierownika budowy w dzienniku budowy,</w:t>
            </w:r>
          </w:p>
          <w:p w14:paraId="0C2584D0"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b) udokumentowania faktycznego zaawansowania robót budowlanych na poziomie wymaganym dla kontrolowanego etapu,</w:t>
            </w:r>
          </w:p>
          <w:p w14:paraId="1664CF4B"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lastRenderedPageBreak/>
              <w:t>c) uzyskania decyzji o pozwoleniu na użytkowanie albo dokonania zawiadomienia o zakończeniu budowy - w przypadku zakończenia robót budowlanych.</w:t>
            </w:r>
          </w:p>
          <w:p w14:paraId="34713EC6"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5. Czynności kontrolne, o których mowa w ust. 4 pkt 1 lit. d, f, g, i oraz j, są wykonywane na podstawie oświadczeń dewelopera.</w:t>
            </w:r>
          </w:p>
          <w:p w14:paraId="7781F330"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6. Przed dokonaniem wypłaty środków pieniężnych, o których mowa w art. 16 ust. 3 Ustawy, bank przeprowadza czynności kontrolne, o których mowa w ust. 4 pkt 1 lit. a, b, d oraz f-j oraz pkt 2, oraz przeprowadza weryfikację posiadania przez dewelopera:</w:t>
            </w:r>
          </w:p>
          <w:p w14:paraId="4F5B80A8"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decyzji o pozwoleniu na użytkowanie lub zawiadomienia o zakończeniu budowy, do którego organ nadzoru budowlanego nie wniósł sprzeciwu, oraz</w:t>
            </w:r>
          </w:p>
          <w:p w14:paraId="04638F91"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zaświadczenia o samodzielności lokalu - w przypadku umowy, o której mowa w art. 2 ust. 1 pkt 2 lub 3.</w:t>
            </w:r>
          </w:p>
          <w:p w14:paraId="7A875BAE"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7. W przypadku:</w:t>
            </w:r>
          </w:p>
          <w:p w14:paraId="35D51048"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1) negatywnej oceny jednego z elementów określonych w ust. 4 pkt 1 lit. a, c-e oraz h lub pkt 2,</w:t>
            </w:r>
          </w:p>
          <w:p w14:paraId="49DE6D8D"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2) braku oświadczeń dewelopera, na podstawie których są wykonywane czynności kontrolne, o których mowa w ust. 4 pkt 1 lit. f, g, i oraz j,</w:t>
            </w:r>
          </w:p>
          <w:p w14:paraId="751D9A6D"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3) wszczęcia wobec dewelopera postępowania restrukturyzacyjnego albo upadłościowego, o którym mowa w ust. 4 pkt 1 lit. b</w:t>
            </w:r>
          </w:p>
          <w:p w14:paraId="0BBA507F"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 bank wstrzymuje wypłatę środków pieniężnych, o których mowa w art. 16 ust. 1 lub 3, i wyznacza deweloperowi termin na usunięcie nieprawidłowości.</w:t>
            </w:r>
          </w:p>
          <w:p w14:paraId="05AEC639"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8. Bank wypłaca deweloperowi środki pieniężne, o których mowa w art. 16 ust. 1 lub 3, wyłącznie po usunięciu nieprawidłowości, o których mowa w ust. 7.</w:t>
            </w:r>
          </w:p>
          <w:p w14:paraId="1CF72105" w14:textId="77777777" w:rsidR="00AF4F76" w:rsidRPr="00AF4F76" w:rsidRDefault="00AF4F76" w:rsidP="00AF4F76">
            <w:pPr>
              <w:ind w:left="2"/>
              <w:contextualSpacing/>
              <w:rPr>
                <w:rFonts w:ascii="Times New Roman" w:hAnsi="Times New Roman" w:cs="Times New Roman"/>
                <w:color w:val="auto"/>
                <w:sz w:val="20"/>
                <w:szCs w:val="20"/>
                <w:lang w:eastAsia="en-US"/>
              </w:rPr>
            </w:pPr>
            <w:r w:rsidRPr="00AF4F76">
              <w:rPr>
                <w:rFonts w:ascii="Times New Roman" w:hAnsi="Times New Roman" w:cs="Times New Roman"/>
                <w:color w:val="auto"/>
                <w:sz w:val="20"/>
                <w:szCs w:val="20"/>
                <w:lang w:eastAsia="en-US"/>
              </w:rPr>
              <w:t>9. Bank może dokonać kontroli zakończenia każdego z etapów przedsięwzięcia deweloperskiego lub zadania inwestycyjnego przed wypłatą środków pieniężnych, o których mowa w art. 16 ust. 1 lub 3, także w zakresie szerszym niż określony w ust. 4, jeżeli wynika to z umowy zawartej z deweloperem.</w:t>
            </w:r>
          </w:p>
          <w:p w14:paraId="04006A10" w14:textId="77777777" w:rsidR="00AF4F76" w:rsidRDefault="00AF4F76" w:rsidP="00AF4F76">
            <w:pPr>
              <w:ind w:left="2"/>
              <w:contextualSpacing/>
              <w:rPr>
                <w:rFonts w:ascii="Times New Roman" w:eastAsiaTheme="minorHAnsi" w:hAnsi="Times New Roman" w:cs="Times New Roman"/>
                <w:color w:val="auto"/>
                <w:sz w:val="20"/>
                <w:szCs w:val="20"/>
                <w:u w:val="single"/>
              </w:rPr>
            </w:pPr>
            <w:r>
              <w:rPr>
                <w:rFonts w:ascii="Times New Roman" w:hAnsi="Times New Roman" w:cs="Times New Roman"/>
                <w:sz w:val="20"/>
                <w:szCs w:val="20"/>
                <w:u w:val="single"/>
              </w:rPr>
              <w:t>art. 18</w:t>
            </w:r>
          </w:p>
          <w:p w14:paraId="1EF187A9" w14:textId="77777777" w:rsidR="00AF4F76" w:rsidRDefault="00AF4F76" w:rsidP="00AF4F76">
            <w:pPr>
              <w:ind w:left="2"/>
              <w:contextualSpacing/>
              <w:rPr>
                <w:rFonts w:ascii="Times New Roman" w:hAnsi="Times New Roman" w:cs="Times New Roman"/>
                <w:sz w:val="20"/>
                <w:szCs w:val="20"/>
              </w:rPr>
            </w:pPr>
            <w:r>
              <w:rPr>
                <w:rFonts w:ascii="Times New Roman" w:hAnsi="Times New Roman" w:cs="Times New Roman"/>
                <w:sz w:val="20"/>
                <w:szCs w:val="20"/>
              </w:rPr>
              <w:t>1. W przypadku odstąpienia na podstawie art. 43 od umowy deweloperskiej albo umowy, o której mowa w art. 2 ust. 1 pkt 2, 3 lub 5, przez jedną ze stron, bank wypłaca nabywcy przypadające mu środki pieniężne pozostałe na mieszkaniowym rachunku powierniczym w nominalnej wysokości niezwłocznie po otrzymaniu oświadczenia o odstąpieniu od jednej z tych umów.</w:t>
            </w:r>
          </w:p>
          <w:p w14:paraId="32EE1970" w14:textId="77777777" w:rsidR="00AF4F76" w:rsidRDefault="00AF4F76" w:rsidP="00AF4F76">
            <w:pPr>
              <w:ind w:left="2"/>
              <w:contextualSpacing/>
              <w:rPr>
                <w:rFonts w:ascii="Times New Roman" w:hAnsi="Times New Roman" w:cs="Times New Roman"/>
                <w:sz w:val="20"/>
                <w:szCs w:val="20"/>
              </w:rPr>
            </w:pPr>
            <w:r>
              <w:rPr>
                <w:rFonts w:ascii="Times New Roman" w:hAnsi="Times New Roman" w:cs="Times New Roman"/>
                <w:sz w:val="20"/>
                <w:szCs w:val="20"/>
              </w:rPr>
              <w:t xml:space="preserve">2. Przepis ust. 1 stosuje się odpowiednio w przypadku odstąpienia od umowy deweloperskiej przez syndyka na podstawie </w:t>
            </w:r>
            <w:hyperlink r:id="rId12" w:anchor="/document/17021464?unitId=art(98)&amp;cm=DOCUMENT" w:history="1">
              <w:r>
                <w:rPr>
                  <w:rStyle w:val="Hipercze"/>
                  <w:szCs w:val="20"/>
                </w:rPr>
                <w:t>art. 98</w:t>
              </w:r>
            </w:hyperlink>
            <w:r>
              <w:rPr>
                <w:rFonts w:ascii="Times New Roman" w:hAnsi="Times New Roman" w:cs="Times New Roman"/>
                <w:sz w:val="20"/>
                <w:szCs w:val="20"/>
              </w:rPr>
              <w:t xml:space="preserve"> ustawy z dnia 28 lutego 2003 r. - Prawo upadłościowe (Dz. U. z 2020 r. poz. 1228 i 2320 oraz z 2021 r. poz. 1080 i 1177) lub przez zarządcę w trybie </w:t>
            </w:r>
            <w:hyperlink r:id="rId13" w:anchor="/document/18208902?unitId=art(298)&amp;cm=DOCUMENT" w:history="1">
              <w:r>
                <w:rPr>
                  <w:rStyle w:val="Hipercze"/>
                  <w:szCs w:val="20"/>
                </w:rPr>
                <w:t>art. 298</w:t>
              </w:r>
            </w:hyperlink>
            <w:r>
              <w:rPr>
                <w:rFonts w:ascii="Times New Roman" w:hAnsi="Times New Roman" w:cs="Times New Roman"/>
                <w:sz w:val="20"/>
                <w:szCs w:val="20"/>
              </w:rPr>
              <w:t xml:space="preserve"> ustawy z dnia 15 maja 2015 r. - Prawo restrukturyzacyjne (Dz. U. z 2020 r. poz. 814 i 1298 oraz z 2021 r. poz. 1080 i 1177).</w:t>
            </w:r>
          </w:p>
          <w:p w14:paraId="7352BC9E" w14:textId="77777777" w:rsidR="00AF4F76" w:rsidRDefault="00AF4F76" w:rsidP="00AF4F76">
            <w:pPr>
              <w:contextualSpacing/>
              <w:rPr>
                <w:rFonts w:ascii="Times New Roman" w:hAnsi="Times New Roman" w:cs="Times New Roman"/>
                <w:sz w:val="20"/>
                <w:szCs w:val="20"/>
              </w:rPr>
            </w:pPr>
          </w:p>
          <w:p w14:paraId="481AFEEC" w14:textId="77777777" w:rsidR="00AF4F76" w:rsidRDefault="00AF4F76" w:rsidP="00AF4F76">
            <w:pPr>
              <w:ind w:left="2"/>
              <w:contextualSpacing/>
              <w:rPr>
                <w:rFonts w:ascii="Times New Roman" w:hAnsi="Times New Roman" w:cs="Times New Roman"/>
                <w:sz w:val="20"/>
                <w:szCs w:val="20"/>
                <w:u w:val="single"/>
              </w:rPr>
            </w:pPr>
            <w:r>
              <w:rPr>
                <w:rFonts w:ascii="Times New Roman" w:hAnsi="Times New Roman" w:cs="Times New Roman"/>
                <w:sz w:val="20"/>
                <w:szCs w:val="20"/>
                <w:u w:val="single"/>
              </w:rPr>
              <w:t>art. 19</w:t>
            </w:r>
          </w:p>
          <w:p w14:paraId="4EB27196" w14:textId="77777777" w:rsidR="00AF4F76" w:rsidRDefault="00AF4F76" w:rsidP="00AF4F76">
            <w:pPr>
              <w:ind w:left="2"/>
              <w:contextualSpacing/>
              <w:rPr>
                <w:rFonts w:ascii="Times New Roman" w:hAnsi="Times New Roman" w:cs="Times New Roman"/>
                <w:sz w:val="20"/>
                <w:szCs w:val="20"/>
              </w:rPr>
            </w:pPr>
            <w:r>
              <w:rPr>
                <w:rFonts w:ascii="Times New Roman" w:hAnsi="Times New Roman" w:cs="Times New Roman"/>
                <w:sz w:val="20"/>
                <w:szCs w:val="20"/>
              </w:rPr>
              <w:t>1. W przypadku rozwiązania umowy deweloperskiej albo umowy, o której mowa w art. 2 ust. 1 pkt 2, 3 lub 5, innego niż na podstawie art. 43, strony przedstawią zgodne oświadczenia woli o sposobie podziału środków pieniężnych zgromadzonych przez nabywcę na mieszkaniowym rachunku powierniczym.</w:t>
            </w:r>
          </w:p>
          <w:p w14:paraId="50ECD325" w14:textId="4ED72CC1" w:rsidR="00AF4F76" w:rsidRPr="00AF4F76" w:rsidRDefault="00AF4F76" w:rsidP="00AF4F76">
            <w:pPr>
              <w:ind w:left="2"/>
              <w:contextualSpacing/>
              <w:rPr>
                <w:rFonts w:ascii="Times New Roman" w:hAnsi="Times New Roman" w:cs="Times New Roman"/>
                <w:sz w:val="20"/>
                <w:szCs w:val="20"/>
              </w:rPr>
            </w:pPr>
            <w:r>
              <w:rPr>
                <w:rFonts w:ascii="Times New Roman" w:hAnsi="Times New Roman" w:cs="Times New Roman"/>
                <w:sz w:val="20"/>
                <w:szCs w:val="20"/>
              </w:rPr>
              <w:t>2. Bank wypłaca środki zgromadzone na mieszkaniowym rachunku powierniczym w nominalnej wysokości niezwłocznie po otrzymaniu oświadczeń, o których mowa w ust. 1.</w:t>
            </w:r>
            <w:r>
              <w:rPr>
                <w:rFonts w:ascii="Times New Roman" w:eastAsia="Times New Roman" w:hAnsi="Times New Roman" w:cs="Times New Roman"/>
                <w:sz w:val="20"/>
              </w:rPr>
              <w:t xml:space="preserve"> </w:t>
            </w:r>
          </w:p>
        </w:tc>
      </w:tr>
      <w:tr w:rsidR="004A009C" w14:paraId="2E3ABCAC" w14:textId="77777777" w:rsidTr="001F6733">
        <w:trPr>
          <w:trHeight w:val="989"/>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A1D39D" w14:textId="77777777" w:rsidR="004A009C" w:rsidRDefault="00B365B2">
            <w:r>
              <w:rPr>
                <w:rFonts w:ascii="Times New Roman" w:eastAsia="Times New Roman" w:hAnsi="Times New Roman" w:cs="Times New Roman"/>
                <w:sz w:val="20"/>
              </w:rPr>
              <w:lastRenderedPageBreak/>
              <w:t xml:space="preserve">Nazwa instytucji zapewniającej bezpieczeństwo środków nabywcy </w:t>
            </w:r>
          </w:p>
        </w:tc>
        <w:tc>
          <w:tcPr>
            <w:tcW w:w="3419" w:type="dxa"/>
            <w:tcBorders>
              <w:top w:val="single" w:sz="4" w:space="0" w:color="000000"/>
              <w:left w:val="single" w:sz="4" w:space="0" w:color="000000"/>
              <w:bottom w:val="single" w:sz="4" w:space="0" w:color="000000"/>
              <w:right w:val="nil"/>
            </w:tcBorders>
          </w:tcPr>
          <w:p w14:paraId="44402ACA" w14:textId="1161C1FA" w:rsidR="004A009C" w:rsidRDefault="00B365B2">
            <w:pPr>
              <w:ind w:left="2"/>
            </w:pPr>
            <w:r>
              <w:rPr>
                <w:rFonts w:ascii="Times New Roman" w:eastAsia="Times New Roman" w:hAnsi="Times New Roman" w:cs="Times New Roman"/>
                <w:sz w:val="20"/>
              </w:rPr>
              <w:t xml:space="preserve"> </w:t>
            </w:r>
            <w:r w:rsidR="00D967B0">
              <w:rPr>
                <w:rFonts w:ascii="Times New Roman" w:eastAsia="Times New Roman" w:hAnsi="Times New Roman" w:cs="Times New Roman"/>
                <w:sz w:val="20"/>
              </w:rPr>
              <w:t>Mazowiecki Bank Spółdzielczy z siedzibą w Łomiankach</w:t>
            </w:r>
          </w:p>
        </w:tc>
        <w:tc>
          <w:tcPr>
            <w:tcW w:w="3419" w:type="dxa"/>
            <w:tcBorders>
              <w:top w:val="single" w:sz="4" w:space="0" w:color="000000"/>
              <w:left w:val="nil"/>
              <w:bottom w:val="single" w:sz="4" w:space="0" w:color="000000"/>
              <w:right w:val="single" w:sz="4" w:space="0" w:color="000000"/>
            </w:tcBorders>
          </w:tcPr>
          <w:p w14:paraId="6CB671DA" w14:textId="77777777" w:rsidR="004A009C" w:rsidRDefault="004A009C"/>
        </w:tc>
      </w:tr>
      <w:tr w:rsidR="004A009C" w14:paraId="4805D801" w14:textId="77777777" w:rsidTr="001F6733">
        <w:trPr>
          <w:trHeight w:val="988"/>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2C7630" w14:textId="77777777" w:rsidR="004A009C" w:rsidRPr="00CD69B1" w:rsidRDefault="00B365B2">
            <w:pPr>
              <w:rPr>
                <w:rFonts w:ascii="Times New Roman" w:eastAsia="Times New Roman" w:hAnsi="Times New Roman" w:cs="Times New Roman"/>
                <w:sz w:val="20"/>
              </w:rPr>
            </w:pPr>
            <w:r w:rsidRPr="00CD69B1">
              <w:rPr>
                <w:rFonts w:ascii="Times New Roman" w:eastAsia="Times New Roman" w:hAnsi="Times New Roman" w:cs="Times New Roman"/>
                <w:sz w:val="20"/>
              </w:rPr>
              <w:t xml:space="preserve">Harmonogram przedsięwzięcia deweloperskiego lub zadania inwestycyjnego </w:t>
            </w:r>
          </w:p>
          <w:p w14:paraId="239D5C90" w14:textId="77777777" w:rsidR="00CD69B1" w:rsidRPr="00CD69B1" w:rsidRDefault="00CD69B1" w:rsidP="00CD69B1">
            <w:pPr>
              <w:jc w:val="center"/>
              <w:rPr>
                <w:rFonts w:ascii="Times New Roman" w:hAnsi="Times New Roman" w:cs="Times New Roman"/>
              </w:rPr>
            </w:pPr>
            <w:r w:rsidRPr="00CD69B1">
              <w:rPr>
                <w:rFonts w:ascii="Times New Roman" w:hAnsi="Times New Roman" w:cs="Times New Roman"/>
              </w:rPr>
              <w:t>I ETAP</w:t>
            </w:r>
          </w:p>
          <w:p w14:paraId="66F4C312" w14:textId="7FAFCBE6" w:rsidR="00CD69B1" w:rsidRPr="00CD69B1" w:rsidRDefault="00CD69B1" w:rsidP="00CD69B1">
            <w:pPr>
              <w:jc w:val="center"/>
              <w:rPr>
                <w:rFonts w:ascii="Times New Roman" w:hAnsi="Times New Roman" w:cs="Times New Roman"/>
              </w:rPr>
            </w:pPr>
            <w:r w:rsidRPr="00CD69B1">
              <w:rPr>
                <w:rFonts w:ascii="Times New Roman" w:hAnsi="Times New Roman" w:cs="Times New Roman"/>
              </w:rPr>
              <w:t xml:space="preserve">(do </w:t>
            </w:r>
            <w:r w:rsidR="00DD171D">
              <w:rPr>
                <w:rFonts w:ascii="Times New Roman" w:hAnsi="Times New Roman" w:cs="Times New Roman"/>
              </w:rPr>
              <w:t>31.07.2025</w:t>
            </w:r>
            <w:r w:rsidRPr="00CD69B1">
              <w:rPr>
                <w:rFonts w:ascii="Times New Roman" w:hAnsi="Times New Roman" w:cs="Times New Roman"/>
              </w:rPr>
              <w:t xml:space="preserve"> r.)</w:t>
            </w:r>
          </w:p>
          <w:p w14:paraId="56EC83AC" w14:textId="77777777" w:rsidR="00CD69B1" w:rsidRPr="00CD69B1" w:rsidRDefault="00CD69B1" w:rsidP="00CD69B1">
            <w:pPr>
              <w:rPr>
                <w:rFonts w:ascii="Times New Roman" w:hAnsi="Times New Roman" w:cs="Times New Roman"/>
              </w:rPr>
            </w:pPr>
          </w:p>
          <w:p w14:paraId="4A843A2C" w14:textId="77777777" w:rsidR="00CD69B1" w:rsidRPr="00CD69B1" w:rsidRDefault="00CD69B1" w:rsidP="00CD69B1">
            <w:pPr>
              <w:rPr>
                <w:rFonts w:ascii="Times New Roman" w:hAnsi="Times New Roman" w:cs="Times New Roman"/>
              </w:rPr>
            </w:pPr>
          </w:p>
          <w:p w14:paraId="4DB877E9" w14:textId="77777777" w:rsidR="00CD69B1" w:rsidRPr="00CD69B1" w:rsidRDefault="00CD69B1" w:rsidP="00CD69B1">
            <w:pPr>
              <w:rPr>
                <w:rFonts w:ascii="Times New Roman" w:hAnsi="Times New Roman" w:cs="Times New Roman"/>
              </w:rPr>
            </w:pPr>
          </w:p>
          <w:p w14:paraId="38DCFBE3" w14:textId="77777777" w:rsidR="00CD69B1" w:rsidRDefault="00CD69B1" w:rsidP="00CD69B1">
            <w:pPr>
              <w:rPr>
                <w:rFonts w:ascii="Times New Roman" w:hAnsi="Times New Roman" w:cs="Times New Roman"/>
              </w:rPr>
            </w:pPr>
          </w:p>
          <w:p w14:paraId="32BACE32" w14:textId="77777777" w:rsidR="00DD171D" w:rsidRPr="00CD69B1" w:rsidRDefault="00DD171D" w:rsidP="00CD69B1">
            <w:pPr>
              <w:rPr>
                <w:rFonts w:ascii="Times New Roman" w:hAnsi="Times New Roman" w:cs="Times New Roman"/>
              </w:rPr>
            </w:pPr>
          </w:p>
          <w:p w14:paraId="10B80FEE" w14:textId="77777777" w:rsidR="00CD69B1" w:rsidRPr="00CD69B1" w:rsidRDefault="00CD69B1" w:rsidP="00CD69B1">
            <w:pPr>
              <w:rPr>
                <w:rFonts w:ascii="Times New Roman" w:hAnsi="Times New Roman" w:cs="Times New Roman"/>
              </w:rPr>
            </w:pPr>
          </w:p>
          <w:p w14:paraId="0047D67C" w14:textId="77777777" w:rsidR="00CD69B1" w:rsidRPr="00CD69B1" w:rsidRDefault="00CD69B1" w:rsidP="00CD69B1">
            <w:pPr>
              <w:rPr>
                <w:rFonts w:ascii="Times New Roman" w:hAnsi="Times New Roman" w:cs="Times New Roman"/>
              </w:rPr>
            </w:pPr>
          </w:p>
          <w:p w14:paraId="5EFC0F4A" w14:textId="77777777" w:rsidR="00CD69B1" w:rsidRPr="00CD69B1" w:rsidRDefault="00CD69B1" w:rsidP="00CD69B1">
            <w:pPr>
              <w:jc w:val="center"/>
              <w:rPr>
                <w:rFonts w:ascii="Times New Roman" w:hAnsi="Times New Roman" w:cs="Times New Roman"/>
              </w:rPr>
            </w:pPr>
            <w:r w:rsidRPr="00CD69B1">
              <w:rPr>
                <w:rFonts w:ascii="Times New Roman" w:hAnsi="Times New Roman" w:cs="Times New Roman"/>
              </w:rPr>
              <w:t>II ETAP</w:t>
            </w:r>
          </w:p>
          <w:p w14:paraId="06E3653A" w14:textId="4092620E" w:rsidR="00CD69B1" w:rsidRPr="00CD69B1" w:rsidRDefault="00CD69B1" w:rsidP="00CD69B1">
            <w:pPr>
              <w:jc w:val="center"/>
              <w:rPr>
                <w:rFonts w:ascii="Times New Roman" w:hAnsi="Times New Roman" w:cs="Times New Roman"/>
              </w:rPr>
            </w:pPr>
            <w:r w:rsidRPr="00CD69B1">
              <w:rPr>
                <w:rFonts w:ascii="Times New Roman" w:hAnsi="Times New Roman" w:cs="Times New Roman"/>
              </w:rPr>
              <w:t xml:space="preserve">(do </w:t>
            </w:r>
            <w:r w:rsidR="00DF6D9A">
              <w:rPr>
                <w:rFonts w:ascii="Times New Roman" w:hAnsi="Times New Roman" w:cs="Times New Roman"/>
              </w:rPr>
              <w:t>3</w:t>
            </w:r>
            <w:r w:rsidR="0094727B">
              <w:rPr>
                <w:rFonts w:ascii="Times New Roman" w:hAnsi="Times New Roman" w:cs="Times New Roman"/>
              </w:rPr>
              <w:t>1</w:t>
            </w:r>
            <w:r w:rsidRPr="00CD69B1">
              <w:rPr>
                <w:rFonts w:ascii="Times New Roman" w:hAnsi="Times New Roman" w:cs="Times New Roman"/>
              </w:rPr>
              <w:t>.</w:t>
            </w:r>
            <w:r w:rsidR="00DD171D">
              <w:rPr>
                <w:rFonts w:ascii="Times New Roman" w:hAnsi="Times New Roman" w:cs="Times New Roman"/>
              </w:rPr>
              <w:t>10</w:t>
            </w:r>
            <w:r w:rsidRPr="00CD69B1">
              <w:rPr>
                <w:rFonts w:ascii="Times New Roman" w:hAnsi="Times New Roman" w:cs="Times New Roman"/>
              </w:rPr>
              <w:t>.202</w:t>
            </w:r>
            <w:r w:rsidR="00DD171D">
              <w:rPr>
                <w:rFonts w:ascii="Times New Roman" w:hAnsi="Times New Roman" w:cs="Times New Roman"/>
              </w:rPr>
              <w:t>5</w:t>
            </w:r>
            <w:r w:rsidRPr="00CD69B1">
              <w:rPr>
                <w:rFonts w:ascii="Times New Roman" w:hAnsi="Times New Roman" w:cs="Times New Roman"/>
              </w:rPr>
              <w:t xml:space="preserve"> r.)</w:t>
            </w:r>
          </w:p>
          <w:p w14:paraId="5CAF0DAD" w14:textId="77777777" w:rsidR="00CD69B1" w:rsidRPr="00CD69B1" w:rsidRDefault="00CD69B1" w:rsidP="00CD69B1">
            <w:pPr>
              <w:rPr>
                <w:rFonts w:ascii="Times New Roman" w:hAnsi="Times New Roman" w:cs="Times New Roman"/>
              </w:rPr>
            </w:pPr>
          </w:p>
          <w:p w14:paraId="42AC9B1C" w14:textId="77777777" w:rsidR="00CD69B1" w:rsidRPr="00CD69B1" w:rsidRDefault="00CD69B1" w:rsidP="00CD69B1">
            <w:pPr>
              <w:rPr>
                <w:rFonts w:ascii="Times New Roman" w:hAnsi="Times New Roman" w:cs="Times New Roman"/>
              </w:rPr>
            </w:pPr>
          </w:p>
          <w:p w14:paraId="72C76546" w14:textId="77777777" w:rsidR="00CD69B1" w:rsidRPr="00CD69B1" w:rsidRDefault="00CD69B1" w:rsidP="00CD69B1">
            <w:pPr>
              <w:rPr>
                <w:rFonts w:ascii="Times New Roman" w:hAnsi="Times New Roman" w:cs="Times New Roman"/>
              </w:rPr>
            </w:pPr>
          </w:p>
          <w:p w14:paraId="6685220B" w14:textId="77777777" w:rsidR="00CD69B1" w:rsidRPr="00CD69B1" w:rsidRDefault="00CD69B1" w:rsidP="00CD69B1">
            <w:pPr>
              <w:rPr>
                <w:rFonts w:ascii="Times New Roman" w:hAnsi="Times New Roman" w:cs="Times New Roman"/>
              </w:rPr>
            </w:pPr>
          </w:p>
          <w:p w14:paraId="1C77E454" w14:textId="77777777" w:rsidR="00CD69B1" w:rsidRDefault="00CD69B1" w:rsidP="00CD69B1">
            <w:pPr>
              <w:rPr>
                <w:rFonts w:ascii="Times New Roman" w:hAnsi="Times New Roman" w:cs="Times New Roman"/>
              </w:rPr>
            </w:pPr>
          </w:p>
          <w:p w14:paraId="673A0E6C" w14:textId="77777777" w:rsidR="00DD171D" w:rsidRPr="00CD69B1" w:rsidRDefault="00DD171D" w:rsidP="00CD69B1">
            <w:pPr>
              <w:rPr>
                <w:rFonts w:ascii="Times New Roman" w:hAnsi="Times New Roman" w:cs="Times New Roman"/>
              </w:rPr>
            </w:pPr>
          </w:p>
          <w:p w14:paraId="220D233B" w14:textId="77777777" w:rsidR="00CD69B1" w:rsidRDefault="00CD69B1" w:rsidP="00CD69B1">
            <w:pPr>
              <w:jc w:val="center"/>
              <w:rPr>
                <w:rFonts w:ascii="Times New Roman" w:hAnsi="Times New Roman" w:cs="Times New Roman"/>
              </w:rPr>
            </w:pPr>
          </w:p>
          <w:p w14:paraId="3E7F264F" w14:textId="10F85622" w:rsidR="00CD69B1" w:rsidRPr="00CD69B1" w:rsidRDefault="00CD69B1" w:rsidP="00CD69B1">
            <w:pPr>
              <w:jc w:val="center"/>
              <w:rPr>
                <w:rFonts w:ascii="Times New Roman" w:hAnsi="Times New Roman" w:cs="Times New Roman"/>
              </w:rPr>
            </w:pPr>
            <w:r w:rsidRPr="00CD69B1">
              <w:rPr>
                <w:rFonts w:ascii="Times New Roman" w:hAnsi="Times New Roman" w:cs="Times New Roman"/>
              </w:rPr>
              <w:t>III ETAP</w:t>
            </w:r>
          </w:p>
          <w:p w14:paraId="2EED7C97" w14:textId="1F222C28" w:rsidR="00CD69B1" w:rsidRPr="00CD69B1" w:rsidRDefault="00CD69B1" w:rsidP="00CD69B1">
            <w:pPr>
              <w:jc w:val="center"/>
              <w:rPr>
                <w:rFonts w:ascii="Times New Roman" w:hAnsi="Times New Roman" w:cs="Times New Roman"/>
              </w:rPr>
            </w:pPr>
            <w:r w:rsidRPr="00CD69B1">
              <w:rPr>
                <w:rFonts w:ascii="Times New Roman" w:hAnsi="Times New Roman" w:cs="Times New Roman"/>
              </w:rPr>
              <w:t xml:space="preserve">(do </w:t>
            </w:r>
            <w:r w:rsidR="0094727B">
              <w:rPr>
                <w:rFonts w:ascii="Times New Roman" w:hAnsi="Times New Roman" w:cs="Times New Roman"/>
              </w:rPr>
              <w:t>3</w:t>
            </w:r>
            <w:r w:rsidR="00DD171D">
              <w:rPr>
                <w:rFonts w:ascii="Times New Roman" w:hAnsi="Times New Roman" w:cs="Times New Roman"/>
              </w:rPr>
              <w:t>0</w:t>
            </w:r>
            <w:r w:rsidRPr="00CD69B1">
              <w:rPr>
                <w:rFonts w:ascii="Times New Roman" w:hAnsi="Times New Roman" w:cs="Times New Roman"/>
              </w:rPr>
              <w:t>.</w:t>
            </w:r>
            <w:r w:rsidR="00DD171D">
              <w:rPr>
                <w:rFonts w:ascii="Times New Roman" w:hAnsi="Times New Roman" w:cs="Times New Roman"/>
              </w:rPr>
              <w:t>11</w:t>
            </w:r>
            <w:r w:rsidRPr="00CD69B1">
              <w:rPr>
                <w:rFonts w:ascii="Times New Roman" w:hAnsi="Times New Roman" w:cs="Times New Roman"/>
              </w:rPr>
              <w:t>.202</w:t>
            </w:r>
            <w:r w:rsidR="00DD171D">
              <w:rPr>
                <w:rFonts w:ascii="Times New Roman" w:hAnsi="Times New Roman" w:cs="Times New Roman"/>
              </w:rPr>
              <w:t>5</w:t>
            </w:r>
            <w:r w:rsidRPr="00CD69B1">
              <w:rPr>
                <w:rFonts w:ascii="Times New Roman" w:hAnsi="Times New Roman" w:cs="Times New Roman"/>
              </w:rPr>
              <w:t xml:space="preserve"> r.)</w:t>
            </w:r>
          </w:p>
          <w:p w14:paraId="67D1892A" w14:textId="77777777" w:rsidR="00CD69B1" w:rsidRPr="00CD69B1" w:rsidRDefault="00CD69B1" w:rsidP="00CD69B1">
            <w:pPr>
              <w:rPr>
                <w:rFonts w:ascii="Times New Roman" w:hAnsi="Times New Roman" w:cs="Times New Roman"/>
              </w:rPr>
            </w:pPr>
          </w:p>
          <w:p w14:paraId="39AA5F06" w14:textId="77777777" w:rsidR="00CD69B1" w:rsidRPr="00CD69B1" w:rsidRDefault="00CD69B1" w:rsidP="00CD69B1">
            <w:pPr>
              <w:rPr>
                <w:rFonts w:ascii="Times New Roman" w:hAnsi="Times New Roman" w:cs="Times New Roman"/>
              </w:rPr>
            </w:pPr>
          </w:p>
          <w:p w14:paraId="32BD0143" w14:textId="77777777" w:rsidR="00CD69B1" w:rsidRDefault="00CD69B1" w:rsidP="00CD69B1">
            <w:pPr>
              <w:jc w:val="center"/>
              <w:rPr>
                <w:rFonts w:ascii="Times New Roman" w:hAnsi="Times New Roman" w:cs="Times New Roman"/>
              </w:rPr>
            </w:pPr>
          </w:p>
          <w:p w14:paraId="580C43EB" w14:textId="776AD2DD" w:rsidR="00CD69B1" w:rsidRPr="00CD69B1" w:rsidRDefault="00CD69B1" w:rsidP="00CD69B1">
            <w:pPr>
              <w:jc w:val="center"/>
              <w:rPr>
                <w:rFonts w:ascii="Times New Roman" w:hAnsi="Times New Roman" w:cs="Times New Roman"/>
              </w:rPr>
            </w:pPr>
            <w:r w:rsidRPr="00CD69B1">
              <w:rPr>
                <w:rFonts w:ascii="Times New Roman" w:hAnsi="Times New Roman" w:cs="Times New Roman"/>
              </w:rPr>
              <w:t>IV ETAP</w:t>
            </w:r>
          </w:p>
          <w:p w14:paraId="699666EF" w14:textId="79DBD2F2" w:rsidR="00CD69B1" w:rsidRPr="00CD69B1" w:rsidRDefault="00CD69B1" w:rsidP="00CD69B1">
            <w:pPr>
              <w:jc w:val="center"/>
              <w:rPr>
                <w:rFonts w:ascii="Times New Roman" w:hAnsi="Times New Roman" w:cs="Times New Roman"/>
              </w:rPr>
            </w:pPr>
            <w:r w:rsidRPr="00CD69B1">
              <w:rPr>
                <w:rFonts w:ascii="Times New Roman" w:hAnsi="Times New Roman" w:cs="Times New Roman"/>
              </w:rPr>
              <w:t xml:space="preserve">(do </w:t>
            </w:r>
            <w:r w:rsidR="00DF6D9A">
              <w:rPr>
                <w:rFonts w:ascii="Times New Roman" w:hAnsi="Times New Roman" w:cs="Times New Roman"/>
              </w:rPr>
              <w:t>3</w:t>
            </w:r>
            <w:r w:rsidR="00DD171D">
              <w:rPr>
                <w:rFonts w:ascii="Times New Roman" w:hAnsi="Times New Roman" w:cs="Times New Roman"/>
              </w:rPr>
              <w:t>1</w:t>
            </w:r>
            <w:r w:rsidRPr="00CD69B1">
              <w:rPr>
                <w:rFonts w:ascii="Times New Roman" w:hAnsi="Times New Roman" w:cs="Times New Roman"/>
              </w:rPr>
              <w:t>.0</w:t>
            </w:r>
            <w:r w:rsidR="00DD171D">
              <w:rPr>
                <w:rFonts w:ascii="Times New Roman" w:hAnsi="Times New Roman" w:cs="Times New Roman"/>
              </w:rPr>
              <w:t>3</w:t>
            </w:r>
            <w:r w:rsidRPr="00CD69B1">
              <w:rPr>
                <w:rFonts w:ascii="Times New Roman" w:hAnsi="Times New Roman" w:cs="Times New Roman"/>
              </w:rPr>
              <w:t>.202</w:t>
            </w:r>
            <w:r w:rsidR="00DD171D">
              <w:rPr>
                <w:rFonts w:ascii="Times New Roman" w:hAnsi="Times New Roman" w:cs="Times New Roman"/>
              </w:rPr>
              <w:t>6</w:t>
            </w:r>
            <w:r w:rsidRPr="00CD69B1">
              <w:rPr>
                <w:rFonts w:ascii="Times New Roman" w:hAnsi="Times New Roman" w:cs="Times New Roman"/>
              </w:rPr>
              <w:t xml:space="preserve"> r.)</w:t>
            </w:r>
          </w:p>
          <w:p w14:paraId="4BF669F2" w14:textId="77777777" w:rsidR="00E265D2" w:rsidRPr="00CD69B1" w:rsidRDefault="00E265D2" w:rsidP="00E265D2">
            <w:pPr>
              <w:rPr>
                <w:rFonts w:ascii="Times New Roman" w:hAnsi="Times New Roman" w:cs="Times New Roman"/>
              </w:rPr>
            </w:pPr>
          </w:p>
          <w:p w14:paraId="43793522" w14:textId="77777777" w:rsidR="00CD69B1" w:rsidRPr="00CD69B1" w:rsidRDefault="00CD69B1" w:rsidP="00CD69B1">
            <w:pPr>
              <w:jc w:val="center"/>
              <w:rPr>
                <w:rFonts w:ascii="Times New Roman" w:hAnsi="Times New Roman" w:cs="Times New Roman"/>
              </w:rPr>
            </w:pPr>
          </w:p>
          <w:p w14:paraId="1BF82136" w14:textId="77777777" w:rsidR="00CD69B1" w:rsidRPr="00CD69B1" w:rsidRDefault="00CD69B1" w:rsidP="00CD69B1">
            <w:pPr>
              <w:jc w:val="center"/>
              <w:rPr>
                <w:rFonts w:ascii="Times New Roman" w:hAnsi="Times New Roman" w:cs="Times New Roman"/>
              </w:rPr>
            </w:pPr>
            <w:r w:rsidRPr="00CD69B1">
              <w:rPr>
                <w:rFonts w:ascii="Times New Roman" w:hAnsi="Times New Roman" w:cs="Times New Roman"/>
              </w:rPr>
              <w:t>V ETAP</w:t>
            </w:r>
          </w:p>
          <w:p w14:paraId="191ECF83" w14:textId="014F3882" w:rsidR="00CD69B1" w:rsidRPr="00CD69B1" w:rsidRDefault="00CD69B1" w:rsidP="00CD69B1">
            <w:pPr>
              <w:jc w:val="center"/>
              <w:rPr>
                <w:rFonts w:ascii="Times New Roman" w:hAnsi="Times New Roman" w:cs="Times New Roman"/>
              </w:rPr>
            </w:pPr>
            <w:r w:rsidRPr="00CD69B1">
              <w:rPr>
                <w:rFonts w:ascii="Times New Roman" w:hAnsi="Times New Roman" w:cs="Times New Roman"/>
              </w:rPr>
              <w:t xml:space="preserve">(do </w:t>
            </w:r>
            <w:r w:rsidR="00DD171D">
              <w:rPr>
                <w:rFonts w:ascii="Times New Roman" w:hAnsi="Times New Roman" w:cs="Times New Roman"/>
              </w:rPr>
              <w:t>15</w:t>
            </w:r>
            <w:r w:rsidRPr="00CD69B1">
              <w:rPr>
                <w:rFonts w:ascii="Times New Roman" w:hAnsi="Times New Roman" w:cs="Times New Roman"/>
              </w:rPr>
              <w:t>.0</w:t>
            </w:r>
            <w:r w:rsidR="00DD171D">
              <w:rPr>
                <w:rFonts w:ascii="Times New Roman" w:hAnsi="Times New Roman" w:cs="Times New Roman"/>
              </w:rPr>
              <w:t>5</w:t>
            </w:r>
            <w:r w:rsidRPr="00CD69B1">
              <w:rPr>
                <w:rFonts w:ascii="Times New Roman" w:hAnsi="Times New Roman" w:cs="Times New Roman"/>
              </w:rPr>
              <w:t>.202</w:t>
            </w:r>
            <w:r w:rsidR="00DD171D">
              <w:rPr>
                <w:rFonts w:ascii="Times New Roman" w:hAnsi="Times New Roman" w:cs="Times New Roman"/>
              </w:rPr>
              <w:t>6</w:t>
            </w:r>
            <w:r w:rsidRPr="00CD69B1">
              <w:rPr>
                <w:rFonts w:ascii="Times New Roman" w:hAnsi="Times New Roman" w:cs="Times New Roman"/>
              </w:rPr>
              <w:t xml:space="preserve"> r.)</w:t>
            </w:r>
          </w:p>
          <w:p w14:paraId="1EB3B263" w14:textId="77777777" w:rsidR="00CD69B1" w:rsidRDefault="00CD69B1" w:rsidP="00DD171D">
            <w:pPr>
              <w:rPr>
                <w:rFonts w:ascii="Times New Roman" w:hAnsi="Times New Roman" w:cs="Times New Roman"/>
              </w:rPr>
            </w:pPr>
          </w:p>
          <w:p w14:paraId="20878A1C" w14:textId="77777777" w:rsidR="00CD69B1" w:rsidRDefault="00CD69B1" w:rsidP="00CD69B1">
            <w:pPr>
              <w:jc w:val="center"/>
              <w:rPr>
                <w:rFonts w:ascii="Times New Roman" w:hAnsi="Times New Roman" w:cs="Times New Roman"/>
              </w:rPr>
            </w:pPr>
          </w:p>
          <w:p w14:paraId="3264E825" w14:textId="6ECF4499" w:rsidR="00CD69B1" w:rsidRPr="00CD69B1" w:rsidRDefault="00CD69B1" w:rsidP="00CD69B1">
            <w:pPr>
              <w:jc w:val="center"/>
              <w:rPr>
                <w:rFonts w:ascii="Times New Roman" w:hAnsi="Times New Roman" w:cs="Times New Roman"/>
              </w:rPr>
            </w:pPr>
            <w:r w:rsidRPr="00CD69B1">
              <w:rPr>
                <w:rFonts w:ascii="Times New Roman" w:hAnsi="Times New Roman" w:cs="Times New Roman"/>
              </w:rPr>
              <w:t>VI ETAP</w:t>
            </w:r>
          </w:p>
          <w:p w14:paraId="642A9BD2" w14:textId="156259D9" w:rsidR="00CD69B1" w:rsidRPr="00CD69B1" w:rsidRDefault="00CD69B1" w:rsidP="00CD69B1">
            <w:pPr>
              <w:jc w:val="center"/>
              <w:rPr>
                <w:rFonts w:ascii="Times New Roman" w:hAnsi="Times New Roman" w:cs="Times New Roman"/>
              </w:rPr>
            </w:pPr>
            <w:r w:rsidRPr="00CD69B1">
              <w:rPr>
                <w:rFonts w:ascii="Times New Roman" w:hAnsi="Times New Roman" w:cs="Times New Roman"/>
              </w:rPr>
              <w:t xml:space="preserve">(do </w:t>
            </w:r>
            <w:r w:rsidR="00DD171D">
              <w:rPr>
                <w:rFonts w:ascii="Times New Roman" w:hAnsi="Times New Roman" w:cs="Times New Roman"/>
              </w:rPr>
              <w:t>15</w:t>
            </w:r>
            <w:r w:rsidRPr="00CD69B1">
              <w:rPr>
                <w:rFonts w:ascii="Times New Roman" w:hAnsi="Times New Roman" w:cs="Times New Roman"/>
              </w:rPr>
              <w:t>.0</w:t>
            </w:r>
            <w:r w:rsidR="00DD171D">
              <w:rPr>
                <w:rFonts w:ascii="Times New Roman" w:hAnsi="Times New Roman" w:cs="Times New Roman"/>
              </w:rPr>
              <w:t>6</w:t>
            </w:r>
            <w:r w:rsidRPr="00CD69B1">
              <w:rPr>
                <w:rFonts w:ascii="Times New Roman" w:hAnsi="Times New Roman" w:cs="Times New Roman"/>
              </w:rPr>
              <w:t>.202</w:t>
            </w:r>
            <w:r w:rsidR="00DD171D">
              <w:rPr>
                <w:rFonts w:ascii="Times New Roman" w:hAnsi="Times New Roman" w:cs="Times New Roman"/>
              </w:rPr>
              <w:t>6</w:t>
            </w:r>
            <w:r w:rsidRPr="00CD69B1">
              <w:rPr>
                <w:rFonts w:ascii="Times New Roman" w:hAnsi="Times New Roman" w:cs="Times New Roman"/>
              </w:rPr>
              <w:t xml:space="preserve"> r.)</w:t>
            </w:r>
          </w:p>
          <w:p w14:paraId="51A8B2F6" w14:textId="77777777" w:rsidR="00CD69B1" w:rsidRPr="00CD69B1" w:rsidRDefault="00CD69B1" w:rsidP="00CD69B1">
            <w:pPr>
              <w:jc w:val="center"/>
              <w:rPr>
                <w:rFonts w:ascii="Times New Roman" w:hAnsi="Times New Roman" w:cs="Times New Roman"/>
              </w:rPr>
            </w:pPr>
          </w:p>
          <w:p w14:paraId="573AB141" w14:textId="77777777" w:rsidR="00DD171D" w:rsidRPr="00CD69B1" w:rsidRDefault="00DD171D" w:rsidP="00E265D2">
            <w:pPr>
              <w:rPr>
                <w:rFonts w:ascii="Times New Roman" w:hAnsi="Times New Roman" w:cs="Times New Roman"/>
              </w:rPr>
            </w:pPr>
          </w:p>
          <w:p w14:paraId="5445DEC3" w14:textId="77777777" w:rsidR="00CD69B1" w:rsidRPr="00CD69B1" w:rsidRDefault="00CD69B1" w:rsidP="00CD69B1">
            <w:pPr>
              <w:jc w:val="center"/>
              <w:rPr>
                <w:rFonts w:ascii="Times New Roman" w:hAnsi="Times New Roman" w:cs="Times New Roman"/>
              </w:rPr>
            </w:pPr>
          </w:p>
          <w:p w14:paraId="177FB982" w14:textId="77777777" w:rsidR="00CD69B1" w:rsidRPr="00CD69B1" w:rsidRDefault="00CD69B1" w:rsidP="00CD69B1">
            <w:pPr>
              <w:jc w:val="center"/>
              <w:rPr>
                <w:rFonts w:ascii="Times New Roman" w:hAnsi="Times New Roman" w:cs="Times New Roman"/>
              </w:rPr>
            </w:pPr>
            <w:r w:rsidRPr="00CD69B1">
              <w:rPr>
                <w:rFonts w:ascii="Times New Roman" w:hAnsi="Times New Roman" w:cs="Times New Roman"/>
              </w:rPr>
              <w:t>VII ETAP</w:t>
            </w:r>
          </w:p>
          <w:p w14:paraId="55E80B81" w14:textId="77777777" w:rsidR="00CD69B1" w:rsidRDefault="00CD69B1" w:rsidP="00CD69B1">
            <w:pPr>
              <w:jc w:val="center"/>
              <w:rPr>
                <w:rFonts w:ascii="Times New Roman" w:hAnsi="Times New Roman" w:cs="Times New Roman"/>
              </w:rPr>
            </w:pPr>
            <w:r w:rsidRPr="00CD69B1">
              <w:rPr>
                <w:rFonts w:ascii="Times New Roman" w:hAnsi="Times New Roman" w:cs="Times New Roman"/>
              </w:rPr>
              <w:t>(do 3</w:t>
            </w:r>
            <w:r w:rsidR="00A1142A">
              <w:rPr>
                <w:rFonts w:ascii="Times New Roman" w:hAnsi="Times New Roman" w:cs="Times New Roman"/>
              </w:rPr>
              <w:t>0</w:t>
            </w:r>
            <w:r w:rsidRPr="00CD69B1">
              <w:rPr>
                <w:rFonts w:ascii="Times New Roman" w:hAnsi="Times New Roman" w:cs="Times New Roman"/>
              </w:rPr>
              <w:t>.</w:t>
            </w:r>
            <w:r w:rsidR="005F173B">
              <w:rPr>
                <w:rFonts w:ascii="Times New Roman" w:hAnsi="Times New Roman" w:cs="Times New Roman"/>
              </w:rPr>
              <w:t>0</w:t>
            </w:r>
            <w:r w:rsidR="00DD152C">
              <w:rPr>
                <w:rFonts w:ascii="Times New Roman" w:hAnsi="Times New Roman" w:cs="Times New Roman"/>
              </w:rPr>
              <w:t>9</w:t>
            </w:r>
            <w:r w:rsidRPr="00CD69B1">
              <w:rPr>
                <w:rFonts w:ascii="Times New Roman" w:hAnsi="Times New Roman" w:cs="Times New Roman"/>
              </w:rPr>
              <w:t>.202</w:t>
            </w:r>
            <w:r w:rsidR="00DD171D">
              <w:rPr>
                <w:rFonts w:ascii="Times New Roman" w:hAnsi="Times New Roman" w:cs="Times New Roman"/>
              </w:rPr>
              <w:t>6</w:t>
            </w:r>
            <w:r w:rsidRPr="00CD69B1">
              <w:rPr>
                <w:rFonts w:ascii="Times New Roman" w:hAnsi="Times New Roman" w:cs="Times New Roman"/>
              </w:rPr>
              <w:t xml:space="preserve"> r.)</w:t>
            </w:r>
          </w:p>
          <w:p w14:paraId="3FAF2518" w14:textId="77777777" w:rsidR="00E265D2" w:rsidRDefault="00E265D2" w:rsidP="00CD69B1">
            <w:pPr>
              <w:jc w:val="center"/>
              <w:rPr>
                <w:rFonts w:ascii="Times New Roman" w:hAnsi="Times New Roman" w:cs="Times New Roman"/>
              </w:rPr>
            </w:pPr>
          </w:p>
          <w:p w14:paraId="32843240" w14:textId="77777777" w:rsidR="009102F0" w:rsidRDefault="009102F0" w:rsidP="00CD69B1">
            <w:pPr>
              <w:jc w:val="center"/>
              <w:rPr>
                <w:rFonts w:ascii="Times New Roman" w:hAnsi="Times New Roman" w:cs="Times New Roman"/>
              </w:rPr>
            </w:pPr>
          </w:p>
          <w:p w14:paraId="37C2241F" w14:textId="77777777" w:rsidR="00DD171D" w:rsidRDefault="00DD171D" w:rsidP="00CD69B1">
            <w:pPr>
              <w:jc w:val="center"/>
              <w:rPr>
                <w:rFonts w:ascii="Times New Roman" w:hAnsi="Times New Roman" w:cs="Times New Roman"/>
              </w:rPr>
            </w:pPr>
          </w:p>
          <w:p w14:paraId="5A8AA7A2" w14:textId="77777777" w:rsidR="00DD171D" w:rsidRDefault="00DD171D" w:rsidP="00CD69B1">
            <w:pPr>
              <w:jc w:val="center"/>
              <w:rPr>
                <w:rFonts w:ascii="Times New Roman" w:hAnsi="Times New Roman" w:cs="Times New Roman"/>
              </w:rPr>
            </w:pPr>
            <w:r>
              <w:rPr>
                <w:rFonts w:ascii="Times New Roman" w:hAnsi="Times New Roman" w:cs="Times New Roman"/>
              </w:rPr>
              <w:t>VIII ETAP</w:t>
            </w:r>
          </w:p>
          <w:p w14:paraId="1E64CB5B" w14:textId="546F0AE1" w:rsidR="00DD171D" w:rsidRPr="00CD69B1" w:rsidRDefault="00DD171D" w:rsidP="00CD69B1">
            <w:pPr>
              <w:jc w:val="center"/>
              <w:rPr>
                <w:rFonts w:ascii="Times New Roman" w:hAnsi="Times New Roman" w:cs="Times New Roman"/>
              </w:rPr>
            </w:pPr>
            <w:r>
              <w:rPr>
                <w:rFonts w:ascii="Times New Roman" w:hAnsi="Times New Roman" w:cs="Times New Roman"/>
              </w:rPr>
              <w:t>(do 30.06.2027 r.)</w:t>
            </w:r>
          </w:p>
        </w:tc>
        <w:tc>
          <w:tcPr>
            <w:tcW w:w="3419" w:type="dxa"/>
            <w:tcBorders>
              <w:top w:val="single" w:sz="4" w:space="0" w:color="000000"/>
              <w:left w:val="single" w:sz="4" w:space="0" w:color="000000"/>
              <w:bottom w:val="single" w:sz="4" w:space="0" w:color="000000"/>
              <w:right w:val="nil"/>
            </w:tcBorders>
          </w:tcPr>
          <w:p w14:paraId="5F4A145E" w14:textId="77777777" w:rsidR="00CD69B1" w:rsidRDefault="00CD69B1" w:rsidP="00CD69B1">
            <w:pPr>
              <w:ind w:left="2"/>
              <w:rPr>
                <w:rFonts w:ascii="Times New Roman" w:eastAsia="Times New Roman" w:hAnsi="Times New Roman" w:cs="Times New Roman"/>
                <w:sz w:val="20"/>
              </w:rPr>
            </w:pPr>
          </w:p>
          <w:p w14:paraId="66346B19" w14:textId="77777777" w:rsidR="00CD69B1" w:rsidRDefault="00CD69B1" w:rsidP="00CD69B1">
            <w:pPr>
              <w:ind w:left="2"/>
              <w:rPr>
                <w:rFonts w:ascii="Times New Roman" w:eastAsia="Times New Roman" w:hAnsi="Times New Roman" w:cs="Times New Roman"/>
                <w:sz w:val="20"/>
              </w:rPr>
            </w:pPr>
          </w:p>
          <w:p w14:paraId="4E5A0117" w14:textId="77777777" w:rsidR="00CD69B1" w:rsidRDefault="00CD69B1" w:rsidP="00CD69B1">
            <w:pPr>
              <w:rPr>
                <w:rFonts w:ascii="Times New Roman" w:eastAsia="Times New Roman" w:hAnsi="Times New Roman" w:cs="Times New Roman"/>
                <w:sz w:val="20"/>
              </w:rPr>
            </w:pPr>
          </w:p>
          <w:p w14:paraId="00CE0480" w14:textId="7F19BC91" w:rsidR="00CD69B1" w:rsidRPr="00CD69B1" w:rsidRDefault="00B365B2" w:rsidP="00CD69B1">
            <w:pPr>
              <w:ind w:left="2"/>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CD69B1" w:rsidRPr="00CD69B1">
              <w:rPr>
                <w:rFonts w:ascii="Times New Roman" w:eastAsia="Times New Roman" w:hAnsi="Times New Roman" w:cs="Times New Roman"/>
                <w:sz w:val="20"/>
              </w:rPr>
              <w:t>2</w:t>
            </w:r>
            <w:r w:rsidR="00F50A52">
              <w:rPr>
                <w:rFonts w:ascii="Times New Roman" w:eastAsia="Times New Roman" w:hAnsi="Times New Roman" w:cs="Times New Roman"/>
                <w:sz w:val="20"/>
              </w:rPr>
              <w:t>0</w:t>
            </w:r>
            <w:r w:rsidR="00CD69B1" w:rsidRPr="00CD69B1">
              <w:rPr>
                <w:rFonts w:ascii="Times New Roman" w:eastAsia="Times New Roman" w:hAnsi="Times New Roman" w:cs="Times New Roman"/>
                <w:sz w:val="20"/>
              </w:rPr>
              <w:t xml:space="preserve">% </w:t>
            </w:r>
          </w:p>
          <w:p w14:paraId="7A8F5513" w14:textId="242717FF"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 xml:space="preserve">Zakup gruntu </w:t>
            </w:r>
            <w:r w:rsidR="00F50A52">
              <w:rPr>
                <w:rFonts w:ascii="Times New Roman" w:eastAsia="Times New Roman" w:hAnsi="Times New Roman" w:cs="Times New Roman"/>
                <w:sz w:val="20"/>
              </w:rPr>
              <w:t>80</w:t>
            </w:r>
            <w:r w:rsidRPr="00CD69B1">
              <w:rPr>
                <w:rFonts w:ascii="Times New Roman" w:eastAsia="Times New Roman" w:hAnsi="Times New Roman" w:cs="Times New Roman"/>
                <w:sz w:val="20"/>
              </w:rPr>
              <w:t>%,</w:t>
            </w:r>
          </w:p>
          <w:p w14:paraId="67BFAB0B"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Prace projektowe,</w:t>
            </w:r>
          </w:p>
          <w:p w14:paraId="3F11B504"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lastRenderedPageBreak/>
              <w:t>Pozwolenie na budowę,</w:t>
            </w:r>
          </w:p>
          <w:p w14:paraId="255A2323"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Geodezyjne wytyczenie budynków,</w:t>
            </w:r>
          </w:p>
          <w:p w14:paraId="0E02B089"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Wytyczenie zdjęcia humusu,</w:t>
            </w:r>
          </w:p>
          <w:p w14:paraId="183B41CD"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ogrodzenia placu budowy.</w:t>
            </w:r>
          </w:p>
          <w:p w14:paraId="34581AA2" w14:textId="77777777" w:rsidR="00CD69B1" w:rsidRDefault="00CD69B1" w:rsidP="00CD69B1">
            <w:pPr>
              <w:ind w:left="2"/>
              <w:rPr>
                <w:rFonts w:ascii="Times New Roman" w:eastAsia="Times New Roman" w:hAnsi="Times New Roman" w:cs="Times New Roman"/>
                <w:sz w:val="20"/>
              </w:rPr>
            </w:pPr>
          </w:p>
          <w:p w14:paraId="12704C2D" w14:textId="77777777" w:rsidR="00CD69B1" w:rsidRPr="00CD69B1" w:rsidRDefault="00CD69B1" w:rsidP="00CD69B1">
            <w:pPr>
              <w:ind w:left="2"/>
              <w:rPr>
                <w:rFonts w:ascii="Times New Roman" w:eastAsia="Times New Roman" w:hAnsi="Times New Roman" w:cs="Times New Roman"/>
                <w:sz w:val="20"/>
              </w:rPr>
            </w:pPr>
          </w:p>
          <w:p w14:paraId="3302856E"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 xml:space="preserve">20% </w:t>
            </w:r>
          </w:p>
          <w:p w14:paraId="02C598DE" w14:textId="7C4BF21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 xml:space="preserve">Zakup gruntu </w:t>
            </w:r>
            <w:r w:rsidR="00F50A52">
              <w:rPr>
                <w:rFonts w:ascii="Times New Roman" w:eastAsia="Times New Roman" w:hAnsi="Times New Roman" w:cs="Times New Roman"/>
                <w:sz w:val="20"/>
              </w:rPr>
              <w:t>20</w:t>
            </w:r>
            <w:r w:rsidRPr="00CD69B1">
              <w:rPr>
                <w:rFonts w:ascii="Times New Roman" w:eastAsia="Times New Roman" w:hAnsi="Times New Roman" w:cs="Times New Roman"/>
                <w:sz w:val="20"/>
              </w:rPr>
              <w:t>%,</w:t>
            </w:r>
          </w:p>
          <w:p w14:paraId="71863032"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zaplecza budowy,</w:t>
            </w:r>
          </w:p>
          <w:p w14:paraId="43F3ED2C"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wykopu bez zasypek,</w:t>
            </w:r>
          </w:p>
          <w:p w14:paraId="7FDE76E4" w14:textId="77777777" w:rsid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fundamentów pod budynek,</w:t>
            </w:r>
          </w:p>
          <w:p w14:paraId="14B7F54A" w14:textId="3B3DFCED" w:rsidR="00F50A52" w:rsidRPr="00CD69B1" w:rsidRDefault="00F50A52" w:rsidP="00CD69B1">
            <w:pPr>
              <w:ind w:left="2"/>
              <w:rPr>
                <w:rFonts w:ascii="Times New Roman" w:eastAsia="Times New Roman" w:hAnsi="Times New Roman" w:cs="Times New Roman"/>
                <w:sz w:val="20"/>
              </w:rPr>
            </w:pPr>
            <w:r>
              <w:rPr>
                <w:rFonts w:ascii="Times New Roman" w:eastAsia="Times New Roman" w:hAnsi="Times New Roman" w:cs="Times New Roman"/>
                <w:sz w:val="20"/>
              </w:rPr>
              <w:t>Wykonanie utwardzenia drogi dojazdowej,</w:t>
            </w:r>
          </w:p>
          <w:p w14:paraId="1483F4BA" w14:textId="77777777" w:rsid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Zakończenie stanu zero.</w:t>
            </w:r>
          </w:p>
          <w:p w14:paraId="69197708" w14:textId="77777777" w:rsidR="00CD69B1" w:rsidRPr="00CD69B1" w:rsidRDefault="00CD69B1" w:rsidP="00CD69B1">
            <w:pPr>
              <w:ind w:left="2"/>
              <w:rPr>
                <w:rFonts w:ascii="Times New Roman" w:eastAsia="Times New Roman" w:hAnsi="Times New Roman" w:cs="Times New Roman"/>
                <w:sz w:val="20"/>
              </w:rPr>
            </w:pPr>
          </w:p>
          <w:p w14:paraId="25504CA1" w14:textId="77777777" w:rsidR="00CD69B1" w:rsidRPr="00CD69B1" w:rsidRDefault="00CD69B1" w:rsidP="00CD69B1">
            <w:pPr>
              <w:ind w:left="2"/>
              <w:rPr>
                <w:rFonts w:ascii="Times New Roman" w:eastAsia="Times New Roman" w:hAnsi="Times New Roman" w:cs="Times New Roman"/>
                <w:sz w:val="20"/>
              </w:rPr>
            </w:pPr>
          </w:p>
          <w:p w14:paraId="149873CA"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 xml:space="preserve">10% </w:t>
            </w:r>
          </w:p>
          <w:p w14:paraId="379EC1CF"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Zakończenie konstrukcji przyziemia,</w:t>
            </w:r>
          </w:p>
          <w:p w14:paraId="607DE93B"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konstrukcji kondygnacji (parter) bez ścian działowych,</w:t>
            </w:r>
          </w:p>
          <w:p w14:paraId="59695DC4"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stropu nad parterem.</w:t>
            </w:r>
          </w:p>
          <w:p w14:paraId="3A3F002B" w14:textId="77777777" w:rsidR="00CD69B1" w:rsidRPr="00CD69B1" w:rsidRDefault="00CD69B1" w:rsidP="00CD69B1">
            <w:pPr>
              <w:ind w:left="2"/>
              <w:rPr>
                <w:rFonts w:ascii="Times New Roman" w:eastAsia="Times New Roman" w:hAnsi="Times New Roman" w:cs="Times New Roman"/>
                <w:sz w:val="20"/>
              </w:rPr>
            </w:pPr>
          </w:p>
          <w:p w14:paraId="1DF654E7"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 xml:space="preserve">10% </w:t>
            </w:r>
          </w:p>
          <w:p w14:paraId="0E23EF3F"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konstrukcji kondygnacji piętra bez ścian działowych,</w:t>
            </w:r>
          </w:p>
          <w:p w14:paraId="139E08C0"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stropu nad piętrem.</w:t>
            </w:r>
          </w:p>
          <w:p w14:paraId="30C25E74" w14:textId="77777777" w:rsidR="00CD69B1" w:rsidRPr="00CD69B1" w:rsidRDefault="00CD69B1" w:rsidP="00CD69B1">
            <w:pPr>
              <w:ind w:left="2"/>
              <w:rPr>
                <w:rFonts w:ascii="Times New Roman" w:eastAsia="Times New Roman" w:hAnsi="Times New Roman" w:cs="Times New Roman"/>
                <w:sz w:val="20"/>
              </w:rPr>
            </w:pPr>
          </w:p>
          <w:p w14:paraId="2BAE6487" w14:textId="20A5F903" w:rsid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1</w:t>
            </w:r>
            <w:r w:rsidR="00DD171D">
              <w:rPr>
                <w:rFonts w:ascii="Times New Roman" w:eastAsia="Times New Roman" w:hAnsi="Times New Roman" w:cs="Times New Roman"/>
                <w:sz w:val="20"/>
              </w:rPr>
              <w:t>0</w:t>
            </w:r>
            <w:r w:rsidRPr="00CD69B1">
              <w:rPr>
                <w:rFonts w:ascii="Times New Roman" w:eastAsia="Times New Roman" w:hAnsi="Times New Roman" w:cs="Times New Roman"/>
                <w:sz w:val="20"/>
              </w:rPr>
              <w:t xml:space="preserve">% </w:t>
            </w:r>
          </w:p>
          <w:p w14:paraId="6324E465" w14:textId="18B489EA" w:rsidR="00CD69B1" w:rsidRDefault="00DD171D" w:rsidP="00DD171D">
            <w:pPr>
              <w:ind w:left="2"/>
              <w:rPr>
                <w:rFonts w:ascii="Times New Roman" w:eastAsia="Times New Roman" w:hAnsi="Times New Roman" w:cs="Times New Roman"/>
                <w:sz w:val="20"/>
              </w:rPr>
            </w:pPr>
            <w:r>
              <w:rPr>
                <w:rFonts w:ascii="Times New Roman" w:eastAsia="Times New Roman" w:hAnsi="Times New Roman" w:cs="Times New Roman"/>
                <w:sz w:val="20"/>
              </w:rPr>
              <w:t>Montaż okien</w:t>
            </w:r>
          </w:p>
          <w:p w14:paraId="7B8CA827" w14:textId="77777777" w:rsidR="00DD171D" w:rsidRPr="00CD69B1" w:rsidRDefault="00DD171D" w:rsidP="00DD171D">
            <w:pPr>
              <w:ind w:left="2"/>
              <w:rPr>
                <w:rFonts w:ascii="Times New Roman" w:eastAsia="Times New Roman" w:hAnsi="Times New Roman" w:cs="Times New Roman"/>
                <w:sz w:val="20"/>
              </w:rPr>
            </w:pPr>
          </w:p>
          <w:p w14:paraId="195AE42A" w14:textId="77777777" w:rsidR="00CD69B1" w:rsidRPr="00CD69B1" w:rsidRDefault="00CD69B1" w:rsidP="00CD69B1">
            <w:pPr>
              <w:ind w:left="2"/>
              <w:rPr>
                <w:rFonts w:ascii="Times New Roman" w:eastAsia="Times New Roman" w:hAnsi="Times New Roman" w:cs="Times New Roman"/>
                <w:sz w:val="20"/>
              </w:rPr>
            </w:pPr>
          </w:p>
          <w:p w14:paraId="4EEFE132" w14:textId="6B4DF2C8" w:rsid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1</w:t>
            </w:r>
            <w:r w:rsidR="00DD171D">
              <w:rPr>
                <w:rFonts w:ascii="Times New Roman" w:eastAsia="Times New Roman" w:hAnsi="Times New Roman" w:cs="Times New Roman"/>
                <w:sz w:val="20"/>
              </w:rPr>
              <w:t>0</w:t>
            </w:r>
            <w:r w:rsidRPr="00CD69B1">
              <w:rPr>
                <w:rFonts w:ascii="Times New Roman" w:eastAsia="Times New Roman" w:hAnsi="Times New Roman" w:cs="Times New Roman"/>
                <w:sz w:val="20"/>
              </w:rPr>
              <w:t>%</w:t>
            </w:r>
          </w:p>
          <w:p w14:paraId="7BF45F92" w14:textId="77777777" w:rsidR="00DD171D" w:rsidRDefault="00DD171D" w:rsidP="00DD171D">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instalacji elektrycznej,</w:t>
            </w:r>
          </w:p>
          <w:p w14:paraId="69034E36" w14:textId="77777777" w:rsidR="00DD171D" w:rsidRPr="00CD69B1" w:rsidRDefault="00DD171D" w:rsidP="00DD171D">
            <w:pPr>
              <w:ind w:left="2"/>
              <w:rPr>
                <w:rFonts w:ascii="Times New Roman" w:eastAsia="Times New Roman" w:hAnsi="Times New Roman" w:cs="Times New Roman"/>
                <w:sz w:val="20"/>
              </w:rPr>
            </w:pPr>
            <w:r>
              <w:rPr>
                <w:rFonts w:ascii="Times New Roman" w:eastAsia="Times New Roman" w:hAnsi="Times New Roman" w:cs="Times New Roman"/>
                <w:sz w:val="20"/>
              </w:rPr>
              <w:t>Wykonanie dachu (bez ocieplenia),</w:t>
            </w:r>
          </w:p>
          <w:p w14:paraId="3093046F" w14:textId="77777777" w:rsidR="00DD171D" w:rsidRPr="00CD69B1" w:rsidRDefault="00DD171D" w:rsidP="00DD171D">
            <w:pPr>
              <w:rPr>
                <w:rFonts w:ascii="Times New Roman" w:eastAsia="Times New Roman" w:hAnsi="Times New Roman" w:cs="Times New Roman"/>
                <w:sz w:val="20"/>
              </w:rPr>
            </w:pPr>
          </w:p>
          <w:p w14:paraId="30F32C39" w14:textId="77777777" w:rsidR="00DD171D" w:rsidRDefault="00DD171D" w:rsidP="00CD69B1">
            <w:pPr>
              <w:ind w:left="2"/>
              <w:rPr>
                <w:rFonts w:ascii="Times New Roman" w:eastAsia="Times New Roman" w:hAnsi="Times New Roman" w:cs="Times New Roman"/>
                <w:sz w:val="20"/>
              </w:rPr>
            </w:pPr>
          </w:p>
          <w:p w14:paraId="58ACD8D4" w14:textId="5ACCFC93" w:rsidR="00F50A52" w:rsidRPr="00CD69B1" w:rsidRDefault="00DD171D" w:rsidP="00DD171D">
            <w:pPr>
              <w:ind w:left="2"/>
              <w:rPr>
                <w:rFonts w:ascii="Times New Roman" w:eastAsia="Times New Roman" w:hAnsi="Times New Roman" w:cs="Times New Roman"/>
                <w:sz w:val="20"/>
              </w:rPr>
            </w:pPr>
            <w:r>
              <w:rPr>
                <w:rFonts w:ascii="Times New Roman" w:eastAsia="Times New Roman" w:hAnsi="Times New Roman" w:cs="Times New Roman"/>
                <w:sz w:val="20"/>
              </w:rPr>
              <w:t>10%</w:t>
            </w:r>
          </w:p>
          <w:p w14:paraId="51DA374E" w14:textId="51A169C4" w:rsidR="0094727B" w:rsidRDefault="00CD69B1" w:rsidP="00DD171D">
            <w:pPr>
              <w:ind w:left="2"/>
              <w:rPr>
                <w:rFonts w:ascii="Times New Roman" w:eastAsia="Times New Roman" w:hAnsi="Times New Roman" w:cs="Times New Roman"/>
                <w:sz w:val="20"/>
              </w:rPr>
            </w:pPr>
            <w:r w:rsidRPr="00CD69B1">
              <w:rPr>
                <w:rFonts w:ascii="Times New Roman" w:eastAsia="Times New Roman" w:hAnsi="Times New Roman" w:cs="Times New Roman"/>
                <w:sz w:val="20"/>
              </w:rPr>
              <w:t xml:space="preserve">Wykonanie </w:t>
            </w:r>
            <w:r w:rsidR="00F50A52">
              <w:rPr>
                <w:rFonts w:ascii="Times New Roman" w:eastAsia="Times New Roman" w:hAnsi="Times New Roman" w:cs="Times New Roman"/>
                <w:sz w:val="20"/>
              </w:rPr>
              <w:t>tynków wewnętrznych,</w:t>
            </w:r>
          </w:p>
          <w:p w14:paraId="42D44FFC" w14:textId="25E4D4C9" w:rsidR="009102F0" w:rsidRPr="00CD69B1" w:rsidRDefault="009102F0" w:rsidP="009102F0">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instalacji hydraulicznej bez</w:t>
            </w:r>
            <w:r>
              <w:rPr>
                <w:rFonts w:ascii="Times New Roman" w:eastAsia="Times New Roman" w:hAnsi="Times New Roman" w:cs="Times New Roman"/>
                <w:sz w:val="20"/>
              </w:rPr>
              <w:t xml:space="preserve"> </w:t>
            </w:r>
            <w:r w:rsidRPr="00CD69B1">
              <w:rPr>
                <w:rFonts w:ascii="Times New Roman" w:eastAsia="Times New Roman" w:hAnsi="Times New Roman" w:cs="Times New Roman"/>
                <w:sz w:val="20"/>
              </w:rPr>
              <w:t>CO,</w:t>
            </w:r>
          </w:p>
          <w:p w14:paraId="680FA361" w14:textId="52818A00"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Ocieplenie budynku (bez elewacji)</w:t>
            </w:r>
            <w:r w:rsidR="0094727B">
              <w:rPr>
                <w:rFonts w:ascii="Times New Roman" w:eastAsia="Times New Roman" w:hAnsi="Times New Roman" w:cs="Times New Roman"/>
                <w:sz w:val="20"/>
              </w:rPr>
              <w:t>.</w:t>
            </w:r>
          </w:p>
          <w:p w14:paraId="05D3231D" w14:textId="77777777" w:rsidR="00CD69B1" w:rsidRPr="00CD69B1" w:rsidRDefault="00CD69B1" w:rsidP="00CD69B1">
            <w:pPr>
              <w:ind w:left="2"/>
              <w:rPr>
                <w:rFonts w:ascii="Times New Roman" w:eastAsia="Times New Roman" w:hAnsi="Times New Roman" w:cs="Times New Roman"/>
                <w:sz w:val="20"/>
              </w:rPr>
            </w:pPr>
          </w:p>
          <w:p w14:paraId="1D048DFF"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10%</w:t>
            </w:r>
          </w:p>
          <w:p w14:paraId="52C83A6A" w14:textId="77777777" w:rsid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elewacji zewnętrznej z obróbkami blacharskimi,</w:t>
            </w:r>
          </w:p>
          <w:p w14:paraId="37A818A6" w14:textId="3F14B2CA" w:rsidR="0094727B" w:rsidRPr="00CD69B1" w:rsidRDefault="0094727B" w:rsidP="00CD69B1">
            <w:pPr>
              <w:ind w:left="2"/>
              <w:rPr>
                <w:rFonts w:ascii="Times New Roman" w:eastAsia="Times New Roman" w:hAnsi="Times New Roman" w:cs="Times New Roman"/>
                <w:sz w:val="20"/>
              </w:rPr>
            </w:pPr>
            <w:r>
              <w:rPr>
                <w:rFonts w:ascii="Times New Roman" w:eastAsia="Times New Roman" w:hAnsi="Times New Roman" w:cs="Times New Roman"/>
                <w:sz w:val="20"/>
              </w:rPr>
              <w:t>Ocieplenie dachu,</w:t>
            </w:r>
          </w:p>
          <w:p w14:paraId="52122BA4" w14:textId="77777777" w:rsidR="00CD69B1" w:rsidRPr="00CD69B1" w:rsidRDefault="00CD69B1" w:rsidP="00CD69B1">
            <w:pPr>
              <w:ind w:left="2"/>
              <w:rPr>
                <w:rFonts w:ascii="Times New Roman" w:eastAsia="Times New Roman" w:hAnsi="Times New Roman" w:cs="Times New Roman"/>
                <w:sz w:val="20"/>
              </w:rPr>
            </w:pPr>
            <w:r w:rsidRPr="00CD69B1">
              <w:rPr>
                <w:rFonts w:ascii="Times New Roman" w:eastAsia="Times New Roman" w:hAnsi="Times New Roman" w:cs="Times New Roman"/>
                <w:sz w:val="20"/>
              </w:rPr>
              <w:t>Wykonanie wylewki,</w:t>
            </w:r>
          </w:p>
          <w:p w14:paraId="1BDA36BB" w14:textId="735F4821" w:rsidR="004A009C" w:rsidRDefault="00CD69B1" w:rsidP="00CD69B1">
            <w:pPr>
              <w:ind w:left="2"/>
            </w:pPr>
            <w:r w:rsidRPr="00CD69B1">
              <w:rPr>
                <w:rFonts w:ascii="Times New Roman" w:eastAsia="Times New Roman" w:hAnsi="Times New Roman" w:cs="Times New Roman"/>
                <w:sz w:val="20"/>
              </w:rPr>
              <w:t>Zaświadczenie o braku sprzeciwu do zawiadomienia o zakończeniu budowy z PNIB.</w:t>
            </w:r>
          </w:p>
        </w:tc>
        <w:tc>
          <w:tcPr>
            <w:tcW w:w="3419" w:type="dxa"/>
            <w:tcBorders>
              <w:top w:val="single" w:sz="4" w:space="0" w:color="000000"/>
              <w:left w:val="nil"/>
              <w:bottom w:val="single" w:sz="4" w:space="0" w:color="000000"/>
              <w:right w:val="single" w:sz="4" w:space="0" w:color="000000"/>
            </w:tcBorders>
          </w:tcPr>
          <w:p w14:paraId="1D726127" w14:textId="77777777" w:rsidR="004A009C" w:rsidRDefault="004A009C"/>
        </w:tc>
      </w:tr>
      <w:tr w:rsidR="00AF4F76" w14:paraId="6EB3F70C" w14:textId="77777777" w:rsidTr="00C32D5E">
        <w:trPr>
          <w:trHeight w:val="987"/>
        </w:trPr>
        <w:tc>
          <w:tcPr>
            <w:tcW w:w="28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3C791B" w14:textId="77777777" w:rsidR="00AF4F76" w:rsidRDefault="00AF4F76">
            <w:pPr>
              <w:ind w:right="114"/>
            </w:pPr>
            <w:r>
              <w:rPr>
                <w:rFonts w:ascii="Times New Roman" w:eastAsia="Times New Roman" w:hAnsi="Times New Roman" w:cs="Times New Roman"/>
                <w:sz w:val="20"/>
              </w:rPr>
              <w:t xml:space="preserve">Dopuszczenie waloryzacji ceny oraz określenie zasad waloryzacji </w:t>
            </w:r>
          </w:p>
        </w:tc>
        <w:tc>
          <w:tcPr>
            <w:tcW w:w="6838" w:type="dxa"/>
            <w:gridSpan w:val="2"/>
            <w:tcBorders>
              <w:top w:val="single" w:sz="4" w:space="0" w:color="000000"/>
              <w:left w:val="single" w:sz="4" w:space="0" w:color="000000"/>
              <w:bottom w:val="single" w:sz="4" w:space="0" w:color="000000"/>
              <w:right w:val="single" w:sz="4" w:space="0" w:color="000000"/>
            </w:tcBorders>
          </w:tcPr>
          <w:p w14:paraId="03264865" w14:textId="1FCF6775" w:rsidR="00AF4F76" w:rsidRDefault="00CD69B1" w:rsidP="00CD69B1">
            <w:r>
              <w:rPr>
                <w:rFonts w:ascii="Times New Roman" w:hAnsi="Times New Roman" w:cs="Times New Roman"/>
                <w:sz w:val="20"/>
                <w:szCs w:val="20"/>
              </w:rPr>
              <w:t>Cena nie będzie podlegać waloryzacji, z tym, że w przypadku, gdy stawka podatku od towarów i usług ulegnie zmianie, wskazana w ustępie 1 niniejszego paragrafu kwota brutto obejmująca podatek od towarów i usług, określona zostanie według stawki tego podatku, zgodnie z obowiązującymi przepisami prawa.</w:t>
            </w:r>
          </w:p>
        </w:tc>
      </w:tr>
    </w:tbl>
    <w:p w14:paraId="09197596" w14:textId="77777777" w:rsidR="004A009C" w:rsidRDefault="00B365B2">
      <w:pPr>
        <w:spacing w:after="0"/>
      </w:pPr>
      <w:r>
        <w:rPr>
          <w:rFonts w:ascii="Times New Roman" w:eastAsia="Times New Roman" w:hAnsi="Times New Roman" w:cs="Times New Roman"/>
          <w:strike/>
          <w:sz w:val="20"/>
        </w:rPr>
        <w:t xml:space="preserve">                                                         </w:t>
      </w:r>
      <w:r>
        <w:rPr>
          <w:rFonts w:ascii="Times New Roman" w:eastAsia="Times New Roman" w:hAnsi="Times New Roman" w:cs="Times New Roman"/>
          <w:sz w:val="20"/>
        </w:rPr>
        <w:t xml:space="preserve"> </w:t>
      </w:r>
    </w:p>
    <w:p w14:paraId="30C0A707" w14:textId="77777777" w:rsidR="004A009C" w:rsidRDefault="00B365B2">
      <w:pPr>
        <w:spacing w:after="4" w:line="263" w:lineRule="auto"/>
        <w:ind w:left="266" w:hanging="281"/>
        <w:jc w:val="both"/>
      </w:pPr>
      <w:r>
        <w:rPr>
          <w:rFonts w:ascii="Times New Roman" w:eastAsia="Times New Roman" w:hAnsi="Times New Roman" w:cs="Times New Roman"/>
          <w:sz w:val="18"/>
          <w:vertAlign w:val="superscript"/>
        </w:rPr>
        <w:t>7)</w:t>
      </w:r>
      <w:r>
        <w:rPr>
          <w:rFonts w:ascii="Times New Roman" w:eastAsia="Times New Roman" w:hAnsi="Times New Roman" w:cs="Times New Roman"/>
          <w:sz w:val="18"/>
        </w:rPr>
        <w:t xml:space="preserve"> 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w:t>
      </w:r>
      <w:r>
        <w:rPr>
          <w:rFonts w:ascii="Times New Roman" w:eastAsia="Times New Roman" w:hAnsi="Times New Roman" w:cs="Times New Roman"/>
          <w:sz w:val="18"/>
        </w:rPr>
        <w:lastRenderedPageBreak/>
        <w:t>ust. 8 ustawy z dnia 20 maja 2021 r.</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o ochronie praw nabywcy lokalu mieszkalnego lub domu jednorodzinnego oraz Deweloperskim Funduszu Gwarancyjnym. </w:t>
      </w:r>
    </w:p>
    <w:p w14:paraId="69D47F79" w14:textId="77777777" w:rsidR="004A009C" w:rsidRDefault="00B365B2">
      <w:pPr>
        <w:spacing w:after="33"/>
      </w:pPr>
      <w:r>
        <w:rPr>
          <w:rFonts w:ascii="Times New Roman" w:eastAsia="Times New Roman" w:hAnsi="Times New Roman" w:cs="Times New Roman"/>
          <w:sz w:val="18"/>
        </w:rPr>
        <w:t xml:space="preserve"> </w:t>
      </w:r>
    </w:p>
    <w:p w14:paraId="182B2D2F" w14:textId="77777777" w:rsidR="004A009C" w:rsidRDefault="00B365B2">
      <w:pPr>
        <w:spacing w:after="4" w:line="263" w:lineRule="auto"/>
        <w:ind w:left="-5" w:hanging="10"/>
        <w:jc w:val="both"/>
      </w:pPr>
      <w:r>
        <w:rPr>
          <w:rFonts w:ascii="Times New Roman" w:eastAsia="Times New Roman" w:hAnsi="Times New Roman" w:cs="Times New Roman"/>
          <w:sz w:val="18"/>
          <w:vertAlign w:val="superscript"/>
        </w:rPr>
        <w:t>*</w:t>
      </w:r>
      <w:r>
        <w:rPr>
          <w:rFonts w:ascii="Times New Roman" w:eastAsia="Times New Roman" w:hAnsi="Times New Roman" w:cs="Times New Roman"/>
          <w:sz w:val="18"/>
        </w:rPr>
        <w:t xml:space="preserve"> Niepotrzebne skreślić. </w:t>
      </w:r>
    </w:p>
    <w:p w14:paraId="4B7130F3" w14:textId="77777777" w:rsidR="004A009C" w:rsidRDefault="004A009C">
      <w:pPr>
        <w:spacing w:after="0"/>
        <w:ind w:left="-1020" w:right="110"/>
      </w:pPr>
    </w:p>
    <w:tbl>
      <w:tblPr>
        <w:tblStyle w:val="TableGrid"/>
        <w:tblW w:w="9648" w:type="dxa"/>
        <w:tblInd w:w="109" w:type="dxa"/>
        <w:tblCellMar>
          <w:top w:w="188" w:type="dxa"/>
          <w:left w:w="107" w:type="dxa"/>
          <w:bottom w:w="7" w:type="dxa"/>
          <w:right w:w="57" w:type="dxa"/>
        </w:tblCellMar>
        <w:tblLook w:val="04A0" w:firstRow="1" w:lastRow="0" w:firstColumn="1" w:lastColumn="0" w:noHBand="0" w:noVBand="1"/>
      </w:tblPr>
      <w:tblGrid>
        <w:gridCol w:w="2809"/>
        <w:gridCol w:w="6839"/>
      </w:tblGrid>
      <w:tr w:rsidR="004A009C" w14:paraId="6F3F75E6" w14:textId="77777777">
        <w:trPr>
          <w:trHeight w:val="1449"/>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506FC20D" w14:textId="77777777" w:rsidR="004A009C" w:rsidRDefault="00B365B2">
            <w:pPr>
              <w:jc w:val="both"/>
            </w:pPr>
            <w:r>
              <w:rPr>
                <w:rFonts w:ascii="Times New Roman" w:eastAsia="Times New Roman" w:hAnsi="Times New Roman" w:cs="Times New Roman"/>
                <w:b/>
                <w:sz w:val="20"/>
              </w:rPr>
              <w:t xml:space="preserve">WARUNKI ODSTĄPIENIA OD UMOWY DEWELOPERSKIEJ LUB UMOWY, O KTÓREJ MOWA W ART. 2 UST. 1 PKT 2, 3 LUB 5 USTAWY Z DNIA 20 MAJA 2021 R. O OCHRONIE PRAW NABYWCY </w:t>
            </w:r>
          </w:p>
          <w:p w14:paraId="6A745C83" w14:textId="77777777" w:rsidR="004A009C" w:rsidRDefault="00B365B2">
            <w:pPr>
              <w:spacing w:after="144"/>
            </w:pPr>
            <w:r>
              <w:rPr>
                <w:rFonts w:ascii="Times New Roman" w:eastAsia="Times New Roman" w:hAnsi="Times New Roman" w:cs="Times New Roman"/>
                <w:b/>
                <w:sz w:val="20"/>
              </w:rPr>
              <w:t xml:space="preserve">LOKALU MIESZKALNEGO LUB DOMU JEDNORODZINNEGO ORAZ DEWELOPERSKIM FUNDUSZU GWARANCYJNYM </w:t>
            </w:r>
          </w:p>
          <w:p w14:paraId="0D0E0E18" w14:textId="77777777" w:rsidR="004A009C" w:rsidRDefault="00B365B2">
            <w:r>
              <w:rPr>
                <w:rFonts w:ascii="Times New Roman" w:eastAsia="Times New Roman" w:hAnsi="Times New Roman" w:cs="Times New Roman"/>
                <w:b/>
                <w:sz w:val="20"/>
              </w:rPr>
              <w:t xml:space="preserve"> </w:t>
            </w:r>
          </w:p>
        </w:tc>
      </w:tr>
      <w:tr w:rsidR="004A009C" w14:paraId="29C422C9" w14:textId="77777777">
        <w:trPr>
          <w:trHeight w:val="2597"/>
        </w:trPr>
        <w:tc>
          <w:tcPr>
            <w:tcW w:w="280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9AE7D2" w14:textId="77777777" w:rsidR="004A009C" w:rsidRDefault="00B365B2">
            <w:pPr>
              <w:spacing w:line="239" w:lineRule="auto"/>
              <w:ind w:right="101"/>
            </w:pPr>
            <w:r>
              <w:rPr>
                <w:rFonts w:ascii="Times New Roman" w:eastAsia="Times New Roman" w:hAnsi="Times New Roman" w:cs="Times New Roman"/>
                <w:sz w:val="20"/>
              </w:rPr>
              <w:t xml:space="preserve">Warunki, na jakich można odstąpić od umowy </w:t>
            </w:r>
            <w:proofErr w:type="spellStart"/>
            <w:r>
              <w:rPr>
                <w:rFonts w:ascii="Times New Roman" w:eastAsia="Times New Roman" w:hAnsi="Times New Roman" w:cs="Times New Roman"/>
                <w:sz w:val="20"/>
              </w:rPr>
              <w:t>dewelo</w:t>
            </w:r>
            <w:proofErr w:type="spellEnd"/>
            <w:r>
              <w:rPr>
                <w:rFonts w:ascii="Times New Roman" w:eastAsia="Times New Roman" w:hAnsi="Times New Roman" w:cs="Times New Roman"/>
                <w:sz w:val="20"/>
              </w:rPr>
              <w:t xml:space="preserve">- perskiej lub jednej z umów, o których mowa w art. 2 ust. 1 pkt 2, 3 lub 5 ustawy z dnia 20 maja 2021 r. o ochronie praw nabywcy lokalu mieszkalnego lub domu jednorodzinnego oraz </w:t>
            </w:r>
          </w:p>
          <w:p w14:paraId="01BC5975" w14:textId="77777777" w:rsidR="004A009C" w:rsidRDefault="00B365B2">
            <w:r>
              <w:rPr>
                <w:rFonts w:ascii="Times New Roman" w:eastAsia="Times New Roman" w:hAnsi="Times New Roman" w:cs="Times New Roman"/>
                <w:sz w:val="20"/>
              </w:rPr>
              <w:t xml:space="preserve">Deweloperskim Funduszu </w:t>
            </w:r>
          </w:p>
          <w:p w14:paraId="31C07BDA" w14:textId="77777777" w:rsidR="004A009C" w:rsidRDefault="00B365B2">
            <w:r>
              <w:rPr>
                <w:rFonts w:ascii="Times New Roman" w:eastAsia="Times New Roman" w:hAnsi="Times New Roman" w:cs="Times New Roman"/>
                <w:sz w:val="20"/>
              </w:rPr>
              <w:t xml:space="preserve">Gwarancyjnym </w:t>
            </w:r>
          </w:p>
        </w:tc>
        <w:tc>
          <w:tcPr>
            <w:tcW w:w="6839" w:type="dxa"/>
            <w:tcBorders>
              <w:top w:val="single" w:sz="4" w:space="0" w:color="000000"/>
              <w:left w:val="single" w:sz="4" w:space="0" w:color="000000"/>
              <w:bottom w:val="single" w:sz="4" w:space="0" w:color="000000"/>
              <w:right w:val="single" w:sz="4" w:space="0" w:color="000000"/>
            </w:tcBorders>
          </w:tcPr>
          <w:p w14:paraId="07C3D67C" w14:textId="77777777" w:rsidR="00D85171" w:rsidRDefault="00D85171" w:rsidP="00D85171">
            <w:pPr>
              <w:contextualSpacing/>
              <w:jc w:val="both"/>
              <w:rPr>
                <w:rFonts w:ascii="Times New Roman" w:eastAsiaTheme="minorHAnsi" w:hAnsi="Times New Roman" w:cs="Times New Roman"/>
                <w:color w:val="auto"/>
                <w:sz w:val="20"/>
                <w:szCs w:val="20"/>
              </w:rPr>
            </w:pPr>
            <w:r>
              <w:rPr>
                <w:rFonts w:ascii="Times New Roman" w:hAnsi="Times New Roman" w:cs="Times New Roman"/>
                <w:sz w:val="20"/>
                <w:szCs w:val="20"/>
              </w:rPr>
              <w:t>1.Nabywca ma prawo odstąpić od umowy deweloperskiej albo umowy, o której mowa w art. 2 ust. 1 pkt 2, 3 lub 5 Ustawy z dnia 20 maja 2021 r. o ochronie praw nabywcy lokalu mieszkalnego lub domu jednorodzinnego oraz Deweloperskim Funduszu Gwarancyjnym (dalej „Ustawa”):</w:t>
            </w:r>
          </w:p>
          <w:p w14:paraId="7F080073" w14:textId="77777777" w:rsidR="00D85171" w:rsidRDefault="00D85171" w:rsidP="00D85171">
            <w:pPr>
              <w:rPr>
                <w:rFonts w:ascii="Times New Roman" w:hAnsi="Times New Roman" w:cstheme="minorBidi"/>
              </w:rPr>
            </w:pPr>
          </w:p>
          <w:p w14:paraId="71063ED3" w14:textId="77777777" w:rsidR="00D85171" w:rsidRDefault="00D85171" w:rsidP="00D85171">
            <w:pPr>
              <w:pStyle w:val="Akapitzlist"/>
              <w:widowControl/>
              <w:numPr>
                <w:ilvl w:val="0"/>
                <w:numId w:val="8"/>
              </w:numPr>
              <w:autoSpaceDE/>
              <w:adjustRightInd/>
              <w:spacing w:after="200" w:line="276" w:lineRule="auto"/>
              <w:jc w:val="both"/>
              <w:rPr>
                <w:sz w:val="20"/>
              </w:rPr>
            </w:pPr>
            <w:r>
              <w:rPr>
                <w:sz w:val="20"/>
              </w:rPr>
              <w:t>jeżeli umowa deweloperska, nie zawiera odpowiednio elementów, o których mowa w art. 35;</w:t>
            </w:r>
          </w:p>
          <w:p w14:paraId="17A51905" w14:textId="77777777" w:rsidR="00D85171" w:rsidRDefault="00D85171" w:rsidP="00D85171">
            <w:pPr>
              <w:pStyle w:val="Akapitzlist"/>
              <w:widowControl/>
              <w:numPr>
                <w:ilvl w:val="0"/>
                <w:numId w:val="8"/>
              </w:numPr>
              <w:autoSpaceDE/>
              <w:adjustRightInd/>
              <w:spacing w:after="200" w:line="276" w:lineRule="auto"/>
              <w:jc w:val="both"/>
              <w:rPr>
                <w:sz w:val="20"/>
              </w:rPr>
            </w:pPr>
            <w:r>
              <w:rPr>
                <w:sz w:val="20"/>
              </w:rPr>
              <w:t>jeżeli informacje zawarte w umowie deweloperskiej nie są zgodne z informacjami zawartymi w prospekcie informacyjnym lub jego załącznikami, z wyjątkiem zmian, o których mowa w art. 35 ust. 2;</w:t>
            </w:r>
          </w:p>
          <w:p w14:paraId="33BD8BBD" w14:textId="77777777" w:rsidR="00D85171" w:rsidRDefault="00D85171" w:rsidP="00D85171">
            <w:pPr>
              <w:pStyle w:val="Akapitzlist"/>
              <w:widowControl/>
              <w:numPr>
                <w:ilvl w:val="0"/>
                <w:numId w:val="8"/>
              </w:numPr>
              <w:autoSpaceDE/>
              <w:adjustRightInd/>
              <w:spacing w:after="200" w:line="276" w:lineRule="auto"/>
              <w:jc w:val="both"/>
              <w:rPr>
                <w:sz w:val="20"/>
              </w:rPr>
            </w:pPr>
            <w:r>
              <w:rPr>
                <w:sz w:val="20"/>
              </w:rPr>
              <w:t>jeżeli deweloper nie doręczył zgodnie z art. 21 lub art. 22 prospektu informacyjnego wraz z załącznikami lub informacji o zmianie danych lub informacji zawartych w prospekcie informacyjnym lub jego załącznikach;</w:t>
            </w:r>
          </w:p>
          <w:p w14:paraId="09A6B0F9" w14:textId="77777777" w:rsidR="00D85171" w:rsidRDefault="00D85171" w:rsidP="00D85171">
            <w:pPr>
              <w:pStyle w:val="Akapitzlist"/>
              <w:widowControl/>
              <w:numPr>
                <w:ilvl w:val="0"/>
                <w:numId w:val="8"/>
              </w:numPr>
              <w:autoSpaceDE/>
              <w:adjustRightInd/>
              <w:spacing w:line="240" w:lineRule="auto"/>
              <w:jc w:val="both"/>
              <w:rPr>
                <w:sz w:val="20"/>
              </w:rPr>
            </w:pPr>
            <w:r>
              <w:rPr>
                <w:sz w:val="20"/>
              </w:rPr>
              <w:t>jeżeli dane lub informacje zawarte w prospekcie informacyjnym lub jego załącznikach, na podstawie których zawarto umowę</w:t>
            </w:r>
            <w:r>
              <w:t xml:space="preserve"> deweloperską, są </w:t>
            </w:r>
            <w:r>
              <w:rPr>
                <w:sz w:val="20"/>
              </w:rPr>
              <w:t>niezgodne ze stanem faktycznym lub prawnym w dniu zawarcia umowy;</w:t>
            </w:r>
          </w:p>
          <w:p w14:paraId="5ADFF5BB" w14:textId="77777777" w:rsidR="00D85171" w:rsidRDefault="00D85171" w:rsidP="00D85171">
            <w:pPr>
              <w:pStyle w:val="Akapitzlist"/>
              <w:widowControl/>
              <w:numPr>
                <w:ilvl w:val="0"/>
                <w:numId w:val="8"/>
              </w:numPr>
              <w:autoSpaceDE/>
              <w:adjustRightInd/>
              <w:spacing w:line="240" w:lineRule="auto"/>
              <w:jc w:val="both"/>
              <w:rPr>
                <w:sz w:val="20"/>
              </w:rPr>
            </w:pPr>
            <w:r>
              <w:rPr>
                <w:sz w:val="20"/>
              </w:rPr>
              <w:t>jeżeli prospekt informacyjny, na podstawie którego zawarto umowę deweloperską, nie zawiera danych informacji określonych we wzorze prospektu informacyjnego;</w:t>
            </w:r>
          </w:p>
          <w:p w14:paraId="5CE2E664" w14:textId="6763A4D6" w:rsidR="00D85171" w:rsidRDefault="00D85171" w:rsidP="00D85171">
            <w:pPr>
              <w:pStyle w:val="Akapitzlist"/>
              <w:widowControl/>
              <w:numPr>
                <w:ilvl w:val="0"/>
                <w:numId w:val="8"/>
              </w:numPr>
              <w:autoSpaceDE/>
              <w:adjustRightInd/>
              <w:spacing w:line="240" w:lineRule="auto"/>
              <w:jc w:val="both"/>
              <w:rPr>
                <w:sz w:val="20"/>
              </w:rPr>
            </w:pPr>
            <w:r>
              <w:rPr>
                <w:sz w:val="20"/>
              </w:rPr>
              <w:t xml:space="preserve">w przypadku </w:t>
            </w:r>
            <w:r w:rsidR="004B1CC7">
              <w:rPr>
                <w:sz w:val="20"/>
              </w:rPr>
              <w:t>nie przeniesienia</w:t>
            </w:r>
            <w:r>
              <w:rPr>
                <w:sz w:val="20"/>
              </w:rPr>
              <w:t xml:space="preserve"> na nabywcę praw wynikających z umowy deweloperskiej, w terminie wynikającym w tej umowy;</w:t>
            </w:r>
          </w:p>
          <w:p w14:paraId="07AD73E8"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gdy deweloper nie zawrze umowy mieszkaniowego rachunku powierniczego z innym bankiem w trybie i terminie, o których mowa w art. 10 ust. 1;</w:t>
            </w:r>
          </w:p>
          <w:p w14:paraId="24443C23"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gdy deweloper nie posiada zgody wierzyciela hipotecznego lub zobowiązania do jej udzielenia, o których mowa w art. 25 ust. 1 pkt. 1 lub 2;</w:t>
            </w:r>
          </w:p>
          <w:p w14:paraId="68C3CEAC"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niewykonania przez dewelopera obowiązku, o którym mowa w art. 12 ust. 2, w terminie określonym w tym przepisie;</w:t>
            </w:r>
          </w:p>
          <w:p w14:paraId="3ADC9306"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nieusunięcia przez dewelopera wady istotnej lokalu mieszkalnego lub domu jednorodzinnego na zasadach określonych w art. 41 ust. 11;</w:t>
            </w:r>
          </w:p>
          <w:p w14:paraId="3B010E4B" w14:textId="77777777" w:rsidR="00D85171" w:rsidRDefault="00D85171" w:rsidP="00D85171">
            <w:pPr>
              <w:pStyle w:val="Akapitzlist"/>
              <w:widowControl/>
              <w:numPr>
                <w:ilvl w:val="0"/>
                <w:numId w:val="8"/>
              </w:numPr>
              <w:autoSpaceDE/>
              <w:adjustRightInd/>
              <w:spacing w:line="240" w:lineRule="auto"/>
              <w:jc w:val="both"/>
              <w:rPr>
                <w:sz w:val="20"/>
              </w:rPr>
            </w:pPr>
            <w:r>
              <w:rPr>
                <w:sz w:val="20"/>
              </w:rPr>
              <w:t>w przypadku stwierdzenia przez rzeczoznawcę istnienia wady istotnej, o którym mowa w art. 41 ust. 15;</w:t>
            </w:r>
          </w:p>
          <w:p w14:paraId="328E272B" w14:textId="77777777" w:rsidR="00D85171" w:rsidRDefault="00D85171" w:rsidP="00D85171">
            <w:pPr>
              <w:pStyle w:val="Akapitzlist"/>
              <w:widowControl/>
              <w:numPr>
                <w:ilvl w:val="0"/>
                <w:numId w:val="8"/>
              </w:numPr>
              <w:autoSpaceDE/>
              <w:adjustRightInd/>
              <w:spacing w:line="240" w:lineRule="auto"/>
              <w:jc w:val="both"/>
              <w:rPr>
                <w:sz w:val="20"/>
              </w:rPr>
            </w:pPr>
            <w:r>
              <w:rPr>
                <w:sz w:val="20"/>
              </w:rPr>
              <w:t>jeżeli syndyk zażądał wykonania upadłości na podstawie art. 98 ustawy z dnia 28 lutego 2003 r. – Prawo upadłościowe;</w:t>
            </w:r>
          </w:p>
          <w:p w14:paraId="128160E2" w14:textId="39A6067B" w:rsidR="00D85171" w:rsidRPr="00D85171" w:rsidRDefault="00D85171" w:rsidP="00D85171">
            <w:pPr>
              <w:pStyle w:val="Akapitzlist"/>
              <w:widowControl/>
              <w:numPr>
                <w:ilvl w:val="0"/>
                <w:numId w:val="8"/>
              </w:numPr>
              <w:autoSpaceDE/>
              <w:adjustRightInd/>
              <w:spacing w:line="240" w:lineRule="auto"/>
              <w:jc w:val="both"/>
              <w:rPr>
                <w:sz w:val="28"/>
                <w:szCs w:val="28"/>
              </w:rPr>
            </w:pPr>
            <w:r>
              <w:rPr>
                <w:sz w:val="20"/>
              </w:rPr>
              <w:t xml:space="preserve">W przypadku, gdy zwłoka Dewelopera dotycząca wydania lokalu będącego przedmiotem umowy deweloperskiej  przekroczy o  90 dni kalendarzowych termin wydania wskazany w umowie deweloperskiej.  Nabywca może odstąpić od niniejszej umowy, nie później jednak niż w terminie do dnia </w:t>
            </w:r>
            <w:r w:rsidRPr="00D85171">
              <w:rPr>
                <w:b/>
                <w:bCs/>
                <w:sz w:val="30"/>
                <w:szCs w:val="30"/>
              </w:rPr>
              <w:t>……</w:t>
            </w:r>
          </w:p>
          <w:p w14:paraId="086E83CA" w14:textId="77777777" w:rsidR="00D85171" w:rsidRDefault="00D85171" w:rsidP="00D85171">
            <w:pPr>
              <w:contextualSpacing/>
              <w:jc w:val="both"/>
              <w:rPr>
                <w:rFonts w:ascii="Times New Roman" w:hAnsi="Times New Roman"/>
                <w:sz w:val="20"/>
                <w:szCs w:val="20"/>
              </w:rPr>
            </w:pPr>
            <w:r>
              <w:rPr>
                <w:rFonts w:ascii="Times New Roman" w:hAnsi="Times New Roman"/>
                <w:sz w:val="20"/>
                <w:szCs w:val="20"/>
              </w:rPr>
              <w:t>Deweloper ma prawo odstąpić od umowy deweloperskiej stosownie do treści art. 43 ust. 7 i 8 ustawy z dnia 20 maja 2021 roku o ochronie prac nabywcy lokalu mieszkalnego lub domu jednorodzinnego oraz deweloperskim funduszu gwarancyjnym, tj.:</w:t>
            </w:r>
          </w:p>
          <w:p w14:paraId="12C28D04" w14:textId="77777777" w:rsidR="00D85171" w:rsidRDefault="00D85171" w:rsidP="00D85171">
            <w:pPr>
              <w:pStyle w:val="Akapitzlist"/>
              <w:widowControl/>
              <w:numPr>
                <w:ilvl w:val="0"/>
                <w:numId w:val="9"/>
              </w:numPr>
              <w:autoSpaceDE/>
              <w:adjustRightInd/>
              <w:spacing w:line="240" w:lineRule="auto"/>
              <w:jc w:val="both"/>
              <w:rPr>
                <w:sz w:val="20"/>
              </w:rPr>
            </w:pPr>
            <w:r>
              <w:rPr>
                <w:sz w:val="20"/>
              </w:rPr>
              <w:t xml:space="preserve">w przypadku niespełnienia przez nabywcę świadczenia pieniężnego w terminie lub wysokości określonych w umowie, mimo wezwania nabywcy w formie pisemnej do uiszczenia zaległych kwot w terminie 30 dni od dnia doręczenia </w:t>
            </w:r>
            <w:r>
              <w:rPr>
                <w:sz w:val="20"/>
              </w:rPr>
              <w:lastRenderedPageBreak/>
              <w:t>wezwania, chyba że niespełnienie przez nabywcę świadczenia pieniężnego jest spowodowane działaniem siły wyższej;</w:t>
            </w:r>
          </w:p>
          <w:p w14:paraId="4CA88182" w14:textId="77777777" w:rsidR="00D85171" w:rsidRDefault="00D85171" w:rsidP="00D85171">
            <w:pPr>
              <w:pStyle w:val="Akapitzlist"/>
              <w:widowControl/>
              <w:numPr>
                <w:ilvl w:val="0"/>
                <w:numId w:val="9"/>
              </w:numPr>
              <w:autoSpaceDE/>
              <w:adjustRightInd/>
              <w:spacing w:line="240" w:lineRule="auto"/>
              <w:jc w:val="both"/>
              <w:rPr>
                <w:sz w:val="20"/>
              </w:rPr>
            </w:pPr>
            <w:r>
              <w:rPr>
                <w:sz w:val="20"/>
              </w:rPr>
              <w:t>w przypadku niestawienia się nabywcy do odbioru lokalu mieszkalnego albo domu jednorodzinnego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777D34C3" w14:textId="77777777" w:rsidR="00D85171" w:rsidRDefault="00D85171" w:rsidP="00D85171">
            <w:pPr>
              <w:contextualSpacing/>
              <w:jc w:val="both"/>
              <w:rPr>
                <w:rFonts w:ascii="Times New Roman" w:hAnsi="Times New Roman"/>
                <w:sz w:val="20"/>
                <w:szCs w:val="20"/>
              </w:rPr>
            </w:pPr>
            <w:r>
              <w:rPr>
                <w:rFonts w:ascii="Times New Roman" w:hAnsi="Times New Roman"/>
                <w:sz w:val="20"/>
                <w:szCs w:val="20"/>
              </w:rPr>
              <w:t>W przypadku skorzystania przez nabywcę z prawa odstąpienia, o którym mowa w art. 43 ust. 1, umowa uważana jest za niezawartą, a nabywca nie ponosi żadnych kosztów związanych z odstąpieniem od umowy. 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w:t>
            </w:r>
          </w:p>
          <w:p w14:paraId="195E0332" w14:textId="77777777" w:rsidR="00D85171" w:rsidRDefault="00D85171" w:rsidP="00D85171">
            <w:pPr>
              <w:contextualSpacing/>
              <w:jc w:val="both"/>
              <w:rPr>
                <w:rFonts w:ascii="Times New Roman" w:hAnsi="Times New Roman"/>
                <w:sz w:val="20"/>
                <w:szCs w:val="20"/>
              </w:rPr>
            </w:pPr>
            <w:r>
              <w:rPr>
                <w:rFonts w:ascii="Times New Roman" w:hAnsi="Times New Roman"/>
                <w:sz w:val="20"/>
                <w:szCs w:val="20"/>
              </w:rPr>
              <w:t>Ponadto:</w:t>
            </w:r>
          </w:p>
          <w:p w14:paraId="46AD4D6F" w14:textId="00BEC69E" w:rsidR="00D85171" w:rsidRDefault="00D85171" w:rsidP="00D85171">
            <w:pPr>
              <w:pStyle w:val="Akapitzlist"/>
              <w:widowControl/>
              <w:numPr>
                <w:ilvl w:val="0"/>
                <w:numId w:val="10"/>
              </w:numPr>
              <w:autoSpaceDE/>
              <w:adjustRightInd/>
              <w:spacing w:line="240" w:lineRule="auto"/>
              <w:jc w:val="both"/>
              <w:rPr>
                <w:sz w:val="20"/>
              </w:rPr>
            </w:pPr>
            <w:r>
              <w:rPr>
                <w:sz w:val="20"/>
              </w:rPr>
              <w:t xml:space="preserve">stosownie do § 3a  Umowy deweloperskiej w cenie zawarty jest podatek VAT, który w odniesieniu do sprzedaży lokali mieszkalnych i pomieszczeń przynależnych na dzień zawarcia Umowy wynosi 8%, strony ustalają, że w przypadku zmiany powszechnie obowiązujących przepisów prawnych, odnośnie wysokości stawek podatku od towarów i usług, w trakcie obowiązywania Umowy, cena wyliczona w § 3a  Umowy ulegnie odpowiedniej zmianie z tego wynikającej. W przypadku, gdy cena ulegnie zwiększeniu w związku z podwyższeniem stawki podatku od towarów i usług VAT, Nabywcy będzie przysługiwać prawo do odstąpienia od niniejszej umowie w terminie 7 dni od dnia powiadomienia go przez Dewelopera o zmianie stawki podatku od towarów i usług VAT, ale nie później niż w terminie do dnia </w:t>
            </w:r>
            <w:r w:rsidRPr="00D85171">
              <w:rPr>
                <w:b/>
                <w:bCs/>
                <w:sz w:val="30"/>
                <w:szCs w:val="30"/>
              </w:rPr>
              <w:t>……</w:t>
            </w:r>
            <w:r>
              <w:rPr>
                <w:sz w:val="20"/>
              </w:rPr>
              <w:t xml:space="preserve"> roku. Deweloper zobowiązuje się do poinformowania Nabywcy o zmianach w zakresie wysokości podatku VAT w terminie do 30 dni od dnia ich wejścia w życie. Przy czym oświadczenie woli Nabywcy o odstąpieniu od Umowy Deweloperskiej z wyżej wymienionej przyczyny będzie skuteczne, jeśli będzie zawierać zgodę na wykreślenie roszczenia o przeniesienie własności Lokalu złożoną w formie pisemnej z podpisami notarialnie poświadczonymi;</w:t>
            </w:r>
          </w:p>
          <w:p w14:paraId="51F37B83" w14:textId="77777777" w:rsidR="00D85171" w:rsidRDefault="00D85171" w:rsidP="00D85171">
            <w:pPr>
              <w:jc w:val="both"/>
              <w:rPr>
                <w:sz w:val="20"/>
              </w:rPr>
            </w:pPr>
          </w:p>
          <w:p w14:paraId="471D9DAB" w14:textId="77777777" w:rsidR="00D85171" w:rsidRPr="00D85171" w:rsidRDefault="00D85171" w:rsidP="00D85171">
            <w:pPr>
              <w:jc w:val="both"/>
              <w:rPr>
                <w:sz w:val="20"/>
              </w:rPr>
            </w:pPr>
          </w:p>
          <w:p w14:paraId="03D0CDBF" w14:textId="40065BFB" w:rsidR="00D85171" w:rsidRDefault="00D85171" w:rsidP="00D85171">
            <w:pPr>
              <w:jc w:val="both"/>
              <w:rPr>
                <w:rFonts w:ascii="Times New Roman" w:hAnsi="Times New Roman" w:cs="Times New Roman"/>
                <w:sz w:val="20"/>
              </w:rPr>
            </w:pPr>
            <w:r>
              <w:rPr>
                <w:rFonts w:ascii="Times New Roman" w:hAnsi="Times New Roman" w:cs="Times New Roman"/>
                <w:sz w:val="20"/>
              </w:rPr>
              <w:t>Inne zapisy wynikające z aktu notarialnego – umowy deweloperskie</w:t>
            </w:r>
          </w:p>
          <w:p w14:paraId="05FA15A5" w14:textId="77777777" w:rsidR="00D85171" w:rsidRDefault="00D85171" w:rsidP="00D85171">
            <w:pPr>
              <w:jc w:val="both"/>
              <w:rPr>
                <w:rFonts w:ascii="Times New Roman" w:hAnsi="Times New Roman" w:cs="Times New Roman"/>
                <w:sz w:val="20"/>
              </w:rPr>
            </w:pPr>
          </w:p>
          <w:p w14:paraId="0306F8D3" w14:textId="36485902" w:rsidR="00D85171" w:rsidRPr="00D85171" w:rsidRDefault="00D85171" w:rsidP="00D85171">
            <w:pPr>
              <w:spacing w:after="160"/>
              <w:contextualSpacing/>
              <w:jc w:val="both"/>
              <w:rPr>
                <w:rFonts w:ascii="Times New Roman" w:eastAsiaTheme="minorHAnsi" w:hAnsi="Times New Roman" w:cs="Times New Roman"/>
                <w:color w:val="auto"/>
                <w:sz w:val="20"/>
                <w:szCs w:val="20"/>
              </w:rPr>
            </w:pPr>
            <w:r>
              <w:rPr>
                <w:rFonts w:ascii="Times New Roman" w:hAnsi="Times New Roman" w:cs="Times New Roman"/>
                <w:sz w:val="20"/>
                <w:szCs w:val="20"/>
              </w:rPr>
              <w:t xml:space="preserve">W przypadku odstąpienia Kupujący zobowiązany jest dołączyć  do oświadczenia o odstąpieniu oświadczenie, z notarialnie poświadczonymi podpisami, o  wyrażeniu bezwarunkowej zgody na wykreślenie roszczeń z tytułu zawartej umowy deweloperskiej z księgi wieczystej prowadzonej dla  inwestycji. </w:t>
            </w:r>
          </w:p>
          <w:p w14:paraId="405C2354" w14:textId="00AED313" w:rsidR="004A009C" w:rsidRDefault="004A009C">
            <w:pPr>
              <w:ind w:left="2"/>
            </w:pPr>
          </w:p>
        </w:tc>
      </w:tr>
      <w:tr w:rsidR="004A009C" w14:paraId="4F0366FE" w14:textId="77777777">
        <w:trPr>
          <w:trHeight w:val="528"/>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477479E" w14:textId="77777777" w:rsidR="004A009C" w:rsidRDefault="00B365B2">
            <w:r>
              <w:rPr>
                <w:rFonts w:ascii="Times New Roman" w:eastAsia="Times New Roman" w:hAnsi="Times New Roman" w:cs="Times New Roman"/>
                <w:b/>
                <w:sz w:val="20"/>
              </w:rPr>
              <w:lastRenderedPageBreak/>
              <w:t xml:space="preserve">INNE INFORMACJE  </w:t>
            </w:r>
          </w:p>
        </w:tc>
      </w:tr>
      <w:tr w:rsidR="004A009C" w14:paraId="424A06B6" w14:textId="77777777">
        <w:trPr>
          <w:trHeight w:val="4126"/>
        </w:trPr>
        <w:tc>
          <w:tcPr>
            <w:tcW w:w="9648" w:type="dxa"/>
            <w:gridSpan w:val="2"/>
            <w:tcBorders>
              <w:top w:val="single" w:sz="4" w:space="0" w:color="000000"/>
              <w:left w:val="single" w:sz="4" w:space="0" w:color="000000"/>
              <w:bottom w:val="nil"/>
              <w:right w:val="single" w:sz="4" w:space="0" w:color="000000"/>
            </w:tcBorders>
            <w:shd w:val="clear" w:color="auto" w:fill="F3F3F3"/>
            <w:vAlign w:val="center"/>
          </w:tcPr>
          <w:p w14:paraId="5092FC02" w14:textId="77777777" w:rsidR="004A009C" w:rsidRDefault="00B365B2">
            <w:pPr>
              <w:spacing w:after="80"/>
            </w:pPr>
            <w:r>
              <w:rPr>
                <w:rFonts w:ascii="Times New Roman" w:eastAsia="Times New Roman" w:hAnsi="Times New Roman" w:cs="Times New Roman"/>
                <w:sz w:val="20"/>
              </w:rPr>
              <w:lastRenderedPageBreak/>
              <w:t xml:space="preserve">I. Informacja o: </w:t>
            </w:r>
          </w:p>
          <w:p w14:paraId="31DABB7C" w14:textId="51F0B813" w:rsidR="004A009C" w:rsidRDefault="00B365B2">
            <w:pPr>
              <w:numPr>
                <w:ilvl w:val="0"/>
                <w:numId w:val="4"/>
              </w:numPr>
              <w:spacing w:after="101" w:line="239" w:lineRule="auto"/>
              <w:ind w:right="49" w:hanging="312"/>
              <w:jc w:val="both"/>
            </w:pPr>
            <w:r>
              <w:rPr>
                <w:rFonts w:ascii="Times New Roman" w:eastAsia="Times New Roman" w:hAnsi="Times New Roman" w:cs="Times New Roman"/>
                <w:sz w:val="20"/>
              </w:rPr>
              <w:t xml:space="preserve">zgodzie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2F5746F6" w14:textId="4A550B27" w:rsidR="004A009C" w:rsidRDefault="00B365B2">
            <w:pPr>
              <w:numPr>
                <w:ilvl w:val="0"/>
                <w:numId w:val="4"/>
              </w:numPr>
              <w:ind w:right="49" w:hanging="312"/>
              <w:jc w:val="both"/>
            </w:pPr>
            <w:r>
              <w:rPr>
                <w:rFonts w:ascii="Times New Roman" w:eastAsia="Times New Roman" w:hAnsi="Times New Roman" w:cs="Times New Roman"/>
                <w:sz w:val="20"/>
              </w:rPr>
              <w:t xml:space="preserve">w przypadku umów, o których mowa w art. 2 ust. 2 ustawy z dnia 20 maja 2021 r. o ochronie praw nabywcy lokalu mieszkalnego lub domu jednorodzinnego oraz Deweloperskim Funduszu Gwarancyjnym, o zgodzie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przeniesienie własności lokalu użytkowego na nabywcę po wpłacie pełnej ceny przez nabywcę lub zobowiązaniu do udzielenia takiej zgody, jeżeli takie obciążenie istnieje, albo zgodzie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przeniesienie na nabywcę ułamkowej części własności lokalu użytkowego po wpłacie pełnej ceny przez nabywcę lub zobowiązaniu do udzielenia takiej zgody, jeżeli takie obciążenie istnieje. </w:t>
            </w:r>
          </w:p>
        </w:tc>
      </w:tr>
      <w:tr w:rsidR="004A009C" w14:paraId="032917EC" w14:textId="77777777">
        <w:trPr>
          <w:trHeight w:val="5360"/>
        </w:trPr>
        <w:tc>
          <w:tcPr>
            <w:tcW w:w="9648" w:type="dxa"/>
            <w:gridSpan w:val="2"/>
            <w:tcBorders>
              <w:top w:val="nil"/>
              <w:left w:val="single" w:sz="4" w:space="0" w:color="000000"/>
              <w:bottom w:val="nil"/>
              <w:right w:val="single" w:sz="4" w:space="0" w:color="000000"/>
            </w:tcBorders>
            <w:vAlign w:val="center"/>
          </w:tcPr>
          <w:p w14:paraId="2CF04890" w14:textId="77777777" w:rsidR="004A009C" w:rsidRDefault="00B365B2">
            <w:pPr>
              <w:spacing w:after="128" w:line="237" w:lineRule="auto"/>
              <w:ind w:left="212" w:hanging="212"/>
              <w:jc w:val="both"/>
            </w:pPr>
            <w:r>
              <w:rPr>
                <w:rFonts w:ascii="Times New Roman" w:eastAsia="Times New Roman" w:hAnsi="Times New Roman" w:cs="Times New Roman"/>
                <w:sz w:val="20"/>
              </w:rPr>
              <w:t xml:space="preserve">II. Informacja o możliwości zapoznania się w lokalu przedsiębiorstwa przez osobę zainteresowaną zawarciem umowy odpowiednio do zakresu umowy z: </w:t>
            </w:r>
          </w:p>
          <w:p w14:paraId="191C8AFD" w14:textId="77777777" w:rsidR="004A009C" w:rsidRDefault="00B365B2">
            <w:pPr>
              <w:numPr>
                <w:ilvl w:val="0"/>
                <w:numId w:val="5"/>
              </w:numPr>
              <w:spacing w:after="87"/>
              <w:ind w:hanging="379"/>
            </w:pPr>
            <w:r>
              <w:rPr>
                <w:rFonts w:ascii="Times New Roman" w:eastAsia="Times New Roman" w:hAnsi="Times New Roman" w:cs="Times New Roman"/>
                <w:sz w:val="20"/>
              </w:rPr>
              <w:t xml:space="preserve">aktualnym stanem księgi wieczystej prowadzonej dla nieruchomości; </w:t>
            </w:r>
          </w:p>
          <w:p w14:paraId="770CDB1B" w14:textId="77777777" w:rsidR="004A009C" w:rsidRDefault="00B365B2">
            <w:pPr>
              <w:numPr>
                <w:ilvl w:val="0"/>
                <w:numId w:val="5"/>
              </w:numPr>
              <w:spacing w:after="100" w:line="238" w:lineRule="auto"/>
              <w:ind w:hanging="379"/>
            </w:pPr>
            <w:r>
              <w:rPr>
                <w:rFonts w:ascii="Times New Roman" w:eastAsia="Times New Roman" w:hAnsi="Times New Roman" w:cs="Times New Roman"/>
                <w:sz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433E9AC9" w14:textId="77777777" w:rsidR="004A009C" w:rsidRDefault="00B365B2">
            <w:pPr>
              <w:numPr>
                <w:ilvl w:val="0"/>
                <w:numId w:val="5"/>
              </w:numPr>
              <w:spacing w:after="125"/>
              <w:ind w:hanging="379"/>
            </w:pPr>
            <w:r>
              <w:rPr>
                <w:rFonts w:ascii="Times New Roman" w:eastAsia="Times New Roman" w:hAnsi="Times New Roman" w:cs="Times New Roman"/>
                <w:sz w:val="20"/>
              </w:rPr>
              <w:t xml:space="preserve">pozwoleniem na budowę albo zgłoszeniem budowy, o którym mowa w art. 29 ust. 1 pkt 1 ustawy z dnia 7 lipca 1994 r. – Prawo budowlane, do którego organ administracji architektoniczno-budowlanej nie wniósł sprzeciwu; </w:t>
            </w:r>
          </w:p>
          <w:p w14:paraId="53C4F426" w14:textId="77777777" w:rsidR="004A009C" w:rsidRDefault="00B365B2">
            <w:pPr>
              <w:numPr>
                <w:ilvl w:val="0"/>
                <w:numId w:val="5"/>
              </w:numPr>
              <w:spacing w:after="66"/>
              <w:ind w:hanging="379"/>
            </w:pPr>
            <w:r>
              <w:rPr>
                <w:rFonts w:ascii="Times New Roman" w:eastAsia="Times New Roman" w:hAnsi="Times New Roman" w:cs="Times New Roman"/>
                <w:sz w:val="20"/>
              </w:rPr>
              <w:t xml:space="preserve">sprawozdaniem finansowym dewelopera za ostatnie dwa lata, a w przypadku: </w:t>
            </w:r>
          </w:p>
          <w:p w14:paraId="45D73B8F" w14:textId="77777777" w:rsidR="004A009C" w:rsidRDefault="00B365B2">
            <w:pPr>
              <w:numPr>
                <w:ilvl w:val="1"/>
                <w:numId w:val="5"/>
              </w:numPr>
              <w:spacing w:after="82"/>
              <w:ind w:hanging="341"/>
            </w:pPr>
            <w:r>
              <w:rPr>
                <w:rFonts w:ascii="Times New Roman" w:eastAsia="Times New Roman" w:hAnsi="Times New Roman" w:cs="Times New Roman"/>
                <w:sz w:val="20"/>
              </w:rPr>
              <w:t xml:space="preserve">prowadzenia działalności przez okres krótszy niż dwa lata – sprawozdaniem finansowym za okres ostatniego roku, </w:t>
            </w:r>
          </w:p>
          <w:p w14:paraId="6D14AA0C" w14:textId="77777777" w:rsidR="004A009C" w:rsidRDefault="00B365B2">
            <w:pPr>
              <w:numPr>
                <w:ilvl w:val="1"/>
                <w:numId w:val="5"/>
              </w:numPr>
              <w:spacing w:after="102"/>
              <w:ind w:hanging="341"/>
            </w:pPr>
            <w:r>
              <w:rPr>
                <w:rFonts w:ascii="Times New Roman" w:eastAsia="Times New Roman" w:hAnsi="Times New Roman" w:cs="Times New Roman"/>
                <w:sz w:val="20"/>
              </w:rPr>
              <w:t xml:space="preserve">realizacji inwestycji przez spółkę celową – sprawozdaniem spółki dominującej oraz spółki celowej; </w:t>
            </w:r>
          </w:p>
          <w:p w14:paraId="4CCC8B0A" w14:textId="77777777" w:rsidR="004A009C" w:rsidRDefault="00B365B2">
            <w:pPr>
              <w:numPr>
                <w:ilvl w:val="0"/>
                <w:numId w:val="5"/>
              </w:numPr>
              <w:spacing w:after="87"/>
              <w:ind w:hanging="379"/>
            </w:pPr>
            <w:r>
              <w:rPr>
                <w:rFonts w:ascii="Times New Roman" w:eastAsia="Times New Roman" w:hAnsi="Times New Roman" w:cs="Times New Roman"/>
                <w:sz w:val="20"/>
              </w:rPr>
              <w:t xml:space="preserve">projektem budowlanym; </w:t>
            </w:r>
          </w:p>
          <w:p w14:paraId="5DFEE210" w14:textId="77777777" w:rsidR="004A009C" w:rsidRDefault="00B365B2">
            <w:pPr>
              <w:numPr>
                <w:ilvl w:val="0"/>
                <w:numId w:val="5"/>
              </w:numPr>
              <w:spacing w:after="128" w:line="237" w:lineRule="auto"/>
              <w:ind w:hanging="379"/>
            </w:pPr>
            <w:r>
              <w:rPr>
                <w:rFonts w:ascii="Times New Roman" w:eastAsia="Times New Roman" w:hAnsi="Times New Roman" w:cs="Times New Roman"/>
                <w:sz w:val="20"/>
              </w:rPr>
              <w:t xml:space="preserve">decyzją o pozwoleniu na użytkowanie budynku lub zawiadomieniem o zakończeniu budowy, do którego organ nadzoru budowlanego nie wniósł sprzeciwu; </w:t>
            </w:r>
          </w:p>
          <w:p w14:paraId="16335B14" w14:textId="77777777" w:rsidR="004A009C" w:rsidRDefault="00B365B2">
            <w:pPr>
              <w:numPr>
                <w:ilvl w:val="0"/>
                <w:numId w:val="5"/>
              </w:numPr>
              <w:spacing w:after="109"/>
              <w:ind w:hanging="379"/>
            </w:pPr>
            <w:r>
              <w:rPr>
                <w:rFonts w:ascii="Times New Roman" w:eastAsia="Times New Roman" w:hAnsi="Times New Roman" w:cs="Times New Roman"/>
                <w:sz w:val="20"/>
              </w:rPr>
              <w:t xml:space="preserve">zaświadczeniem o samodzielności lokalu; </w:t>
            </w:r>
          </w:p>
          <w:p w14:paraId="4B39CAE2" w14:textId="77777777" w:rsidR="004A009C" w:rsidRDefault="00B365B2">
            <w:pPr>
              <w:numPr>
                <w:ilvl w:val="0"/>
                <w:numId w:val="5"/>
              </w:numPr>
              <w:ind w:hanging="379"/>
            </w:pPr>
            <w:r>
              <w:rPr>
                <w:rFonts w:ascii="Times New Roman" w:eastAsia="Times New Roman" w:hAnsi="Times New Roman" w:cs="Times New Roman"/>
                <w:sz w:val="20"/>
              </w:rPr>
              <w:t xml:space="preserve">aktem ustanowienia odrębnej własności lokalu; </w:t>
            </w:r>
          </w:p>
        </w:tc>
      </w:tr>
    </w:tbl>
    <w:p w14:paraId="5A8767B7" w14:textId="77777777" w:rsidR="004A009C" w:rsidRDefault="004A009C">
      <w:pPr>
        <w:spacing w:after="0"/>
        <w:ind w:left="-1020" w:right="110"/>
      </w:pPr>
    </w:p>
    <w:tbl>
      <w:tblPr>
        <w:tblStyle w:val="TableGrid"/>
        <w:tblW w:w="9648" w:type="dxa"/>
        <w:tblInd w:w="109" w:type="dxa"/>
        <w:tblCellMar>
          <w:top w:w="42" w:type="dxa"/>
          <w:left w:w="107" w:type="dxa"/>
          <w:right w:w="57" w:type="dxa"/>
        </w:tblCellMar>
        <w:tblLook w:val="04A0" w:firstRow="1" w:lastRow="0" w:firstColumn="1" w:lastColumn="0" w:noHBand="0" w:noVBand="1"/>
      </w:tblPr>
      <w:tblGrid>
        <w:gridCol w:w="9648"/>
      </w:tblGrid>
      <w:tr w:rsidR="004A009C" w14:paraId="67EBE313" w14:textId="77777777">
        <w:trPr>
          <w:trHeight w:val="4172"/>
        </w:trPr>
        <w:tc>
          <w:tcPr>
            <w:tcW w:w="9648" w:type="dxa"/>
            <w:tcBorders>
              <w:top w:val="nil"/>
              <w:left w:val="single" w:sz="4" w:space="0" w:color="000000"/>
              <w:bottom w:val="nil"/>
              <w:right w:val="single" w:sz="4" w:space="0" w:color="000000"/>
            </w:tcBorders>
          </w:tcPr>
          <w:p w14:paraId="17A2AD0E" w14:textId="77777777" w:rsidR="004A009C" w:rsidRDefault="00B365B2">
            <w:pPr>
              <w:tabs>
                <w:tab w:val="center" w:pos="442"/>
                <w:tab w:val="center" w:pos="1998"/>
              </w:tabs>
              <w:spacing w:after="88"/>
            </w:pPr>
            <w:r>
              <w:lastRenderedPageBreak/>
              <w:tab/>
            </w:r>
            <w:r>
              <w:rPr>
                <w:rFonts w:ascii="Times New Roman" w:eastAsia="Times New Roman" w:hAnsi="Times New Roman" w:cs="Times New Roman"/>
                <w:sz w:val="20"/>
              </w:rPr>
              <w:t xml:space="preserve">9) </w:t>
            </w:r>
            <w:r>
              <w:rPr>
                <w:rFonts w:ascii="Times New Roman" w:eastAsia="Times New Roman" w:hAnsi="Times New Roman" w:cs="Times New Roman"/>
                <w:sz w:val="20"/>
              </w:rPr>
              <w:tab/>
              <w:t xml:space="preserve">dokumentem potwierdzającym: </w:t>
            </w:r>
          </w:p>
          <w:p w14:paraId="56D5A6D6" w14:textId="67E1B2E2" w:rsidR="004A009C" w:rsidRDefault="00B365B2">
            <w:pPr>
              <w:numPr>
                <w:ilvl w:val="0"/>
                <w:numId w:val="6"/>
              </w:numPr>
              <w:spacing w:after="80" w:line="239" w:lineRule="auto"/>
              <w:ind w:right="48" w:hanging="341"/>
              <w:jc w:val="both"/>
            </w:pPr>
            <w:r>
              <w:rPr>
                <w:rFonts w:ascii="Times New Roman" w:eastAsia="Times New Roman" w:hAnsi="Times New Roman" w:cs="Times New Roman"/>
                <w:sz w:val="20"/>
              </w:rPr>
              <w:t xml:space="preserve">zgodę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ustanowienie odrębnej własności lokalu mieszkalnego i przeniesienie jego własności na nabywcę po wpłacie pełnej ceny przez nabywcę lub zobowiązanie do jej udzielenia, jeżeli takie obciążenie istnieje, albo zgodę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5D6E34C9" w14:textId="19F1FA20" w:rsidR="004A009C" w:rsidRDefault="00B365B2">
            <w:pPr>
              <w:numPr>
                <w:ilvl w:val="0"/>
                <w:numId w:val="6"/>
              </w:numPr>
              <w:ind w:right="48" w:hanging="341"/>
              <w:jc w:val="both"/>
            </w:pPr>
            <w:r>
              <w:rPr>
                <w:rFonts w:ascii="Times New Roman" w:eastAsia="Times New Roman" w:hAnsi="Times New Roman" w:cs="Times New Roman"/>
                <w:sz w:val="20"/>
              </w:rPr>
              <w:t xml:space="preserve">w przypadku umów, o których mowa w art. 2 ust. 2 ustawy z dnia 20 maja 2021 r. o ochronie praw nabywcy lokalu mieszkalnego lub domu jednorodzinnego oraz Deweloperskim Funduszu Gwarancyjnym, zgodę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przeniesienie własności lokalu użytkowego na nabywcę po wpłacie pełnej ceny przez nabywcę lub zobowiązanie do udzielenia takiej zgody, jeżeli takie obciążenie istnieje, albo zgodę banku lub innego wierzyciela hipotecznego na </w:t>
            </w:r>
            <w:r w:rsidR="004B1CC7">
              <w:rPr>
                <w:rFonts w:ascii="Times New Roman" w:eastAsia="Times New Roman" w:hAnsi="Times New Roman" w:cs="Times New Roman"/>
                <w:sz w:val="20"/>
              </w:rPr>
              <w:t>bez obciążeniowe</w:t>
            </w:r>
            <w:r>
              <w:rPr>
                <w:rFonts w:ascii="Times New Roman" w:eastAsia="Times New Roman" w:hAnsi="Times New Roman" w:cs="Times New Roman"/>
                <w:sz w:val="20"/>
              </w:rPr>
              <w:t xml:space="preserve"> przeniesienie na nabywcę ułamkowej części własności lokalu użytkowego po wpłacie pełnej ceny przez nabywcę lub zobowiązanie do udzielenia takiej zgody, jeżeli takie obciążenie istnieje. </w:t>
            </w:r>
          </w:p>
        </w:tc>
      </w:tr>
      <w:tr w:rsidR="004A009C" w14:paraId="0F382CAC" w14:textId="77777777">
        <w:trPr>
          <w:trHeight w:val="9840"/>
        </w:trPr>
        <w:tc>
          <w:tcPr>
            <w:tcW w:w="9648" w:type="dxa"/>
            <w:tcBorders>
              <w:top w:val="nil"/>
              <w:left w:val="single" w:sz="4" w:space="0" w:color="000000"/>
              <w:bottom w:val="single" w:sz="4" w:space="0" w:color="000000"/>
              <w:right w:val="single" w:sz="4" w:space="0" w:color="000000"/>
            </w:tcBorders>
            <w:shd w:val="clear" w:color="auto" w:fill="FFFFFF"/>
            <w:vAlign w:val="center"/>
          </w:tcPr>
          <w:p w14:paraId="5F734ADC" w14:textId="77777777" w:rsidR="004A009C" w:rsidRDefault="00B365B2">
            <w:pPr>
              <w:spacing w:after="125"/>
            </w:pPr>
            <w:r>
              <w:rPr>
                <w:rFonts w:ascii="Times New Roman" w:eastAsia="Times New Roman" w:hAnsi="Times New Roman" w:cs="Times New Roman"/>
                <w:sz w:val="20"/>
              </w:rPr>
              <w:lastRenderedPageBreak/>
              <w:t xml:space="preserve">III. Informacja: </w:t>
            </w:r>
          </w:p>
          <w:p w14:paraId="650BB688" w14:textId="15C2ACED" w:rsidR="004A009C" w:rsidRDefault="00B365B2">
            <w:pPr>
              <w:spacing w:after="145" w:line="239" w:lineRule="auto"/>
              <w:ind w:right="48"/>
              <w:jc w:val="both"/>
            </w:pPr>
            <w:r>
              <w:rPr>
                <w:rFonts w:ascii="Times New Roman" w:eastAsia="Times New Roman" w:hAnsi="Times New Roman" w:cs="Times New Roman"/>
                <w:sz w:val="20"/>
              </w:rPr>
              <w:t>Środki pieniężne zgromadzone w</w:t>
            </w:r>
            <w:r w:rsidR="004B1CC7">
              <w:rPr>
                <w:rFonts w:ascii="Times New Roman" w:eastAsia="Times New Roman" w:hAnsi="Times New Roman" w:cs="Times New Roman"/>
                <w:sz w:val="20"/>
              </w:rPr>
              <w:t xml:space="preserve"> Mazowieckim Banku Spółdzielczym </w:t>
            </w:r>
            <w:r>
              <w:rPr>
                <w:rFonts w:ascii="Times New Roman" w:eastAsia="Times New Roman" w:hAnsi="Times New Roman" w:cs="Times New Roman"/>
                <w:sz w:val="20"/>
              </w:rPr>
              <w:t xml:space="preserve">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0D666CBB" w14:textId="77777777" w:rsidR="004A009C" w:rsidRDefault="00B365B2">
            <w:pPr>
              <w:spacing w:after="123"/>
            </w:pPr>
            <w:r>
              <w:rPr>
                <w:rFonts w:ascii="Times New Roman" w:eastAsia="Times New Roman" w:hAnsi="Times New Roman" w:cs="Times New Roman"/>
                <w:sz w:val="20"/>
              </w:rPr>
              <w:t xml:space="preserve"> </w:t>
            </w:r>
          </w:p>
          <w:p w14:paraId="2D65F5EF" w14:textId="77777777" w:rsidR="004A009C" w:rsidRDefault="00B365B2">
            <w:pPr>
              <w:spacing w:after="125"/>
            </w:pPr>
            <w:r>
              <w:rPr>
                <w:rFonts w:ascii="Times New Roman" w:eastAsia="Times New Roman" w:hAnsi="Times New Roman" w:cs="Times New Roman"/>
                <w:sz w:val="20"/>
              </w:rPr>
              <w:t xml:space="preserve">Informacje podstawowe o obowiązkowym systemie gwarantowania depozytów: </w:t>
            </w:r>
          </w:p>
          <w:p w14:paraId="3B98ADE9" w14:textId="2EB7ED9D" w:rsidR="004A009C" w:rsidRDefault="00B365B2">
            <w:pPr>
              <w:numPr>
                <w:ilvl w:val="0"/>
                <w:numId w:val="7"/>
              </w:numPr>
              <w:spacing w:after="144"/>
              <w:ind w:hanging="312"/>
              <w:jc w:val="both"/>
            </w:pPr>
            <w:r>
              <w:rPr>
                <w:rFonts w:ascii="Times New Roman" w:eastAsia="Times New Roman" w:hAnsi="Times New Roman" w:cs="Times New Roman"/>
                <w:sz w:val="20"/>
              </w:rPr>
              <w:t xml:space="preserve">ochrona środków dotyczy sytuacji spełnienia warunku gwarancji wobec </w:t>
            </w:r>
            <w:r w:rsidR="004B1CC7">
              <w:rPr>
                <w:rFonts w:ascii="Times New Roman" w:eastAsia="Times New Roman" w:hAnsi="Times New Roman" w:cs="Times New Roman"/>
                <w:sz w:val="20"/>
              </w:rPr>
              <w:t>Mazowieckiego Banku Spółdzielczego</w:t>
            </w:r>
            <w:r>
              <w:rPr>
                <w:rFonts w:ascii="Times New Roman" w:eastAsia="Times New Roman" w:hAnsi="Times New Roman" w:cs="Times New Roman"/>
                <w:sz w:val="20"/>
              </w:rPr>
              <w:t xml:space="preserve">, </w:t>
            </w:r>
          </w:p>
          <w:p w14:paraId="6B54A68C" w14:textId="77777777" w:rsidR="004A009C" w:rsidRDefault="00B365B2">
            <w:pPr>
              <w:numPr>
                <w:ilvl w:val="0"/>
                <w:numId w:val="7"/>
              </w:numPr>
              <w:spacing w:after="142"/>
              <w:ind w:hanging="312"/>
              <w:jc w:val="both"/>
            </w:pPr>
            <w:r>
              <w:rPr>
                <w:rFonts w:ascii="Times New Roman" w:eastAsia="Times New Roman" w:hAnsi="Times New Roman" w:cs="Times New Roman"/>
                <w:sz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29864012" w14:textId="77777777" w:rsidR="004A009C" w:rsidRDefault="00B365B2">
            <w:pPr>
              <w:numPr>
                <w:ilvl w:val="0"/>
                <w:numId w:val="7"/>
              </w:numPr>
              <w:spacing w:after="144"/>
              <w:ind w:hanging="312"/>
              <w:jc w:val="both"/>
            </w:pPr>
            <w:r>
              <w:rPr>
                <w:rFonts w:ascii="Times New Roman" w:eastAsia="Times New Roman" w:hAnsi="Times New Roman" w:cs="Times New Roman"/>
                <w:sz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1E54CC15" w14:textId="77777777" w:rsidR="004A009C" w:rsidRDefault="00B365B2">
            <w:pPr>
              <w:numPr>
                <w:ilvl w:val="0"/>
                <w:numId w:val="7"/>
              </w:numPr>
              <w:spacing w:after="145" w:line="238" w:lineRule="auto"/>
              <w:ind w:hanging="312"/>
              <w:jc w:val="both"/>
            </w:pPr>
            <w:r>
              <w:rPr>
                <w:rFonts w:ascii="Times New Roman" w:eastAsia="Times New Roman" w:hAnsi="Times New Roman" w:cs="Times New Roman"/>
                <w:sz w:val="20"/>
              </w:rPr>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3625F76E" w14:textId="77777777" w:rsidR="004A009C" w:rsidRDefault="00B365B2">
            <w:pPr>
              <w:numPr>
                <w:ilvl w:val="0"/>
                <w:numId w:val="7"/>
              </w:numPr>
              <w:spacing w:after="168"/>
              <w:ind w:hanging="312"/>
              <w:jc w:val="both"/>
            </w:pPr>
            <w:r>
              <w:rPr>
                <w:rFonts w:ascii="Times New Roman" w:eastAsia="Times New Roman" w:hAnsi="Times New Roman" w:cs="Times New Roman"/>
                <w:sz w:val="20"/>
              </w:rPr>
              <w:t xml:space="preserve">wypłata środków gwarantowanych – co do zasady – następuje w terminie 7 dni roboczych od dnia spełnienia warunku gwarancji wobec banku, </w:t>
            </w:r>
          </w:p>
          <w:p w14:paraId="6991FA78" w14:textId="77777777" w:rsidR="004A009C" w:rsidRDefault="00B365B2">
            <w:pPr>
              <w:numPr>
                <w:ilvl w:val="0"/>
                <w:numId w:val="7"/>
              </w:numPr>
              <w:spacing w:after="131"/>
              <w:ind w:hanging="312"/>
              <w:jc w:val="both"/>
            </w:pPr>
            <w:r>
              <w:rPr>
                <w:rFonts w:ascii="Times New Roman" w:eastAsia="Times New Roman" w:hAnsi="Times New Roman" w:cs="Times New Roman"/>
                <w:sz w:val="20"/>
              </w:rPr>
              <w:t xml:space="preserve">wypłata środków gwarantowanych jest dokonywana w złotych, </w:t>
            </w:r>
          </w:p>
          <w:p w14:paraId="2042C0B0" w14:textId="422FDB6B" w:rsidR="004A009C" w:rsidRDefault="004B1CC7">
            <w:pPr>
              <w:numPr>
                <w:ilvl w:val="0"/>
                <w:numId w:val="7"/>
              </w:numPr>
              <w:spacing w:after="146" w:line="237" w:lineRule="auto"/>
              <w:ind w:hanging="312"/>
              <w:jc w:val="both"/>
            </w:pPr>
            <w:r>
              <w:rPr>
                <w:rFonts w:ascii="Times New Roman" w:eastAsia="Times New Roman" w:hAnsi="Times New Roman" w:cs="Times New Roman"/>
                <w:sz w:val="20"/>
              </w:rPr>
              <w:t>Mazowiecki Bank Spółdzielczy</w:t>
            </w:r>
            <w:r w:rsidR="00B365B2">
              <w:rPr>
                <w:rFonts w:ascii="Times New Roman" w:eastAsia="Times New Roman" w:hAnsi="Times New Roman" w:cs="Times New Roman"/>
                <w:sz w:val="20"/>
              </w:rPr>
              <w:t xml:space="preserve"> korzysta także z następujących znaków towarowych: </w:t>
            </w:r>
          </w:p>
          <w:p w14:paraId="3BE6D36A" w14:textId="77777777" w:rsidR="004A009C" w:rsidRDefault="00B365B2">
            <w:pPr>
              <w:spacing w:after="144"/>
              <w:jc w:val="both"/>
            </w:pPr>
            <w:r>
              <w:rPr>
                <w:rFonts w:ascii="Times New Roman" w:eastAsia="Times New Roman" w:hAnsi="Times New Roman" w:cs="Times New Roman"/>
                <w:sz w:val="20"/>
              </w:rPr>
              <w:t xml:space="preserve">Dalsze informacje na temat systemu gwarantowania depozytów można uzyskać na stronie internetowej Bankowego Funduszu Gwarancyjnego: https://www.bfg.pl/. </w:t>
            </w:r>
          </w:p>
          <w:p w14:paraId="21495B2F" w14:textId="77777777" w:rsidR="004A009C" w:rsidRDefault="00B365B2">
            <w:pPr>
              <w:ind w:left="32" w:right="51"/>
              <w:jc w:val="both"/>
            </w:pPr>
            <w:r>
              <w:rPr>
                <w:rFonts w:ascii="Times New Roman" w:eastAsia="Times New Roman" w:hAnsi="Times New Roman" w:cs="Times New Roman"/>
                <w:sz w:val="20"/>
              </w:rPr>
              <w:t xml:space="preserve">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163BCD1A" w14:textId="77777777" w:rsidR="004A009C" w:rsidRDefault="00B365B2">
            <w:pPr>
              <w:ind w:right="50"/>
              <w:jc w:val="both"/>
            </w:pPr>
            <w:r>
              <w:rPr>
                <w:rFonts w:ascii="Times New Roman" w:eastAsia="Times New Roman" w:hAnsi="Times New Roman" w:cs="Times New Roman"/>
                <w:sz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tc>
      </w:tr>
    </w:tbl>
    <w:p w14:paraId="07B514DD" w14:textId="47B836AF" w:rsidR="004A009C" w:rsidRDefault="00B365B2">
      <w:pPr>
        <w:spacing w:after="0"/>
        <w:jc w:val="both"/>
      </w:pPr>
      <w:r>
        <w:rPr>
          <w:rFonts w:ascii="Times New Roman" w:eastAsia="Times New Roman" w:hAnsi="Times New Roman" w:cs="Times New Roman"/>
          <w:sz w:val="20"/>
        </w:rPr>
        <w:tab/>
        <w:t xml:space="preserve"> </w:t>
      </w:r>
    </w:p>
    <w:p w14:paraId="535D8BF5" w14:textId="77777777" w:rsidR="004A009C" w:rsidRDefault="00B365B2">
      <w:pPr>
        <w:spacing w:after="495" w:line="265" w:lineRule="auto"/>
        <w:ind w:left="10" w:right="-10" w:hanging="10"/>
        <w:jc w:val="right"/>
      </w:pPr>
      <w:r>
        <w:rPr>
          <w:rFonts w:ascii="Times New Roman" w:eastAsia="Times New Roman" w:hAnsi="Times New Roman" w:cs="Times New Roman"/>
          <w:b/>
          <w:sz w:val="20"/>
        </w:rPr>
        <w:t xml:space="preserve">Podpis dewelopera albo osoby upoważnionej do reprezentacji dewelopera </w:t>
      </w:r>
    </w:p>
    <w:p w14:paraId="46CF24D3" w14:textId="77777777" w:rsidR="004A009C" w:rsidRDefault="00B365B2">
      <w:pPr>
        <w:spacing w:after="653" w:line="265" w:lineRule="auto"/>
        <w:ind w:left="10" w:right="-10" w:hanging="10"/>
        <w:jc w:val="right"/>
      </w:pPr>
      <w:r>
        <w:rPr>
          <w:rFonts w:ascii="Times New Roman" w:eastAsia="Times New Roman" w:hAnsi="Times New Roman" w:cs="Times New Roman"/>
          <w:b/>
          <w:sz w:val="20"/>
        </w:rPr>
        <w:t xml:space="preserve">…...…………………………………. </w:t>
      </w:r>
    </w:p>
    <w:p w14:paraId="13C47EEF" w14:textId="77777777" w:rsidR="004A009C" w:rsidRDefault="00B365B2">
      <w:pPr>
        <w:spacing w:after="409"/>
        <w:ind w:left="-48" w:right="-94"/>
      </w:pPr>
      <w:r>
        <w:rPr>
          <w:noProof/>
        </w:rPr>
        <mc:AlternateContent>
          <mc:Choice Requires="wpg">
            <w:drawing>
              <wp:inline distT="0" distB="0" distL="0" distR="0" wp14:anchorId="2BF54498" wp14:editId="7B5552A8">
                <wp:extent cx="6355297" cy="24073"/>
                <wp:effectExtent l="0" t="0" r="0" b="0"/>
                <wp:docPr id="21606" name="Group 21606"/>
                <wp:cNvGraphicFramePr/>
                <a:graphic xmlns:a="http://schemas.openxmlformats.org/drawingml/2006/main">
                  <a:graphicData uri="http://schemas.microsoft.com/office/word/2010/wordprocessingGroup">
                    <wpg:wgp>
                      <wpg:cNvGrpSpPr/>
                      <wpg:grpSpPr>
                        <a:xfrm>
                          <a:off x="0" y="0"/>
                          <a:ext cx="6355297" cy="24073"/>
                          <a:chOff x="0" y="0"/>
                          <a:chExt cx="6355297" cy="24073"/>
                        </a:xfrm>
                      </wpg:grpSpPr>
                      <wps:wsp>
                        <wps:cNvPr id="3218" name="Shape 3218"/>
                        <wps:cNvSpPr/>
                        <wps:spPr>
                          <a:xfrm>
                            <a:off x="0" y="0"/>
                            <a:ext cx="6355297" cy="0"/>
                          </a:xfrm>
                          <a:custGeom>
                            <a:avLst/>
                            <a:gdLst/>
                            <a:ahLst/>
                            <a:cxnLst/>
                            <a:rect l="0" t="0" r="0" b="0"/>
                            <a:pathLst>
                              <a:path w="6355297">
                                <a:moveTo>
                                  <a:pt x="0" y="0"/>
                                </a:moveTo>
                                <a:lnTo>
                                  <a:pt x="6355297" y="0"/>
                                </a:lnTo>
                              </a:path>
                            </a:pathLst>
                          </a:custGeom>
                          <a:ln w="2407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DB1EF7" id="Group 21606" o:spid="_x0000_s1026" style="width:500.4pt;height:1.9pt;mso-position-horizontal-relative:char;mso-position-vertical-relative:line" coordsize="6355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">
                <v:shape id="Shape 3218" o:spid="_x0000_s1027" style="position:absolute;width:63552;height:0;visibility:visible;mso-wrap-style:square;v-text-anchor:top" coordsize="635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" path="m,l6355297,e" filled="f" strokeweight=".66869mm">
                  <v:path arrowok="t" textboxrect="0,0,6355297,0"/>
                </v:shape>
                <w10:anchorlock/>
              </v:group>
            </w:pict>
          </mc:Fallback>
        </mc:AlternateContent>
      </w:r>
    </w:p>
    <w:p w14:paraId="744646DA" w14:textId="77777777" w:rsidR="004A009C" w:rsidRDefault="00B365B2">
      <w:pPr>
        <w:spacing w:after="115" w:line="265" w:lineRule="auto"/>
        <w:ind w:left="-5" w:hanging="10"/>
      </w:pPr>
      <w:r>
        <w:rPr>
          <w:rFonts w:ascii="Times New Roman" w:eastAsia="Times New Roman" w:hAnsi="Times New Roman" w:cs="Times New Roman"/>
          <w:b/>
          <w:sz w:val="20"/>
        </w:rPr>
        <w:t xml:space="preserve">Załączniki: </w:t>
      </w:r>
    </w:p>
    <w:p w14:paraId="544197F6" w14:textId="77777777" w:rsidR="00DB40AD" w:rsidRDefault="00DB40AD" w:rsidP="00DB40AD">
      <w:pPr>
        <w:numPr>
          <w:ilvl w:val="0"/>
          <w:numId w:val="3"/>
        </w:numPr>
        <w:spacing w:after="157" w:line="251" w:lineRule="auto"/>
        <w:ind w:hanging="276"/>
        <w:jc w:val="both"/>
      </w:pPr>
      <w:r>
        <w:rPr>
          <w:rFonts w:ascii="Times New Roman" w:eastAsia="Times New Roman" w:hAnsi="Times New Roman" w:cs="Times New Roman"/>
          <w:sz w:val="20"/>
        </w:rPr>
        <w:t>Rzut lokalu mieszkalnego.</w:t>
      </w:r>
    </w:p>
    <w:p w14:paraId="736FA6BC" w14:textId="77777777" w:rsidR="00DB40AD" w:rsidRDefault="00DB40AD" w:rsidP="00DB40AD">
      <w:pPr>
        <w:numPr>
          <w:ilvl w:val="0"/>
          <w:numId w:val="3"/>
        </w:numPr>
        <w:spacing w:after="157" w:line="251" w:lineRule="auto"/>
        <w:ind w:hanging="276"/>
        <w:jc w:val="both"/>
      </w:pPr>
      <w:r>
        <w:rPr>
          <w:rFonts w:ascii="Times New Roman" w:eastAsia="Times New Roman" w:hAnsi="Times New Roman" w:cs="Times New Roman"/>
          <w:sz w:val="20"/>
        </w:rPr>
        <w:t>Wzór umowy deweloperskiej lub umowy, o której mowa w art. 2 ust. 1 pkt 2, 3 lub 5 ustawy z dnia 20 maja 2021 r. o ochronie praw nabywcy lokalu mieszkalnego lub domu jednorodzinnego oraz Deweloperskim Funduszu Gwarancyjnym.</w:t>
      </w:r>
    </w:p>
    <w:p w14:paraId="1D5C697E" w14:textId="77777777" w:rsidR="00DB40AD" w:rsidRPr="00642603" w:rsidRDefault="00DB40AD" w:rsidP="00DB40AD">
      <w:pPr>
        <w:numPr>
          <w:ilvl w:val="0"/>
          <w:numId w:val="3"/>
        </w:numPr>
        <w:spacing w:after="41" w:line="251" w:lineRule="auto"/>
        <w:ind w:hanging="276"/>
        <w:jc w:val="both"/>
      </w:pPr>
      <w:r>
        <w:rPr>
          <w:rFonts w:ascii="Times New Roman" w:eastAsia="Times New Roman" w:hAnsi="Times New Roman" w:cs="Times New Roman"/>
          <w:sz w:val="20"/>
        </w:rPr>
        <w:lastRenderedPageBreak/>
        <w:t>Plan osiedla.</w:t>
      </w:r>
    </w:p>
    <w:p w14:paraId="7D47CF87" w14:textId="77777777" w:rsidR="00DB40AD" w:rsidRDefault="00DB40AD" w:rsidP="00DB40AD">
      <w:pPr>
        <w:numPr>
          <w:ilvl w:val="0"/>
          <w:numId w:val="3"/>
        </w:numPr>
        <w:spacing w:after="41" w:line="251" w:lineRule="auto"/>
        <w:ind w:hanging="276"/>
        <w:jc w:val="both"/>
      </w:pPr>
      <w:r>
        <w:rPr>
          <w:rFonts w:ascii="Times New Roman" w:eastAsia="Times New Roman" w:hAnsi="Times New Roman" w:cs="Times New Roman"/>
          <w:sz w:val="20"/>
        </w:rPr>
        <w:t>Specyfikacja stanu deweloperskiego</w:t>
      </w:r>
    </w:p>
    <w:p w14:paraId="4CD53F96" w14:textId="77777777" w:rsidR="004A009C" w:rsidRDefault="00B365B2">
      <w:pPr>
        <w:spacing w:after="0"/>
        <w:ind w:left="-22" w:right="-68"/>
      </w:pPr>
      <w:r>
        <w:rPr>
          <w:noProof/>
        </w:rPr>
        <mc:AlternateContent>
          <mc:Choice Requires="wpg">
            <w:drawing>
              <wp:inline distT="0" distB="0" distL="0" distR="0" wp14:anchorId="1350F643" wp14:editId="24042C4D">
                <wp:extent cx="6322722" cy="23950"/>
                <wp:effectExtent l="0" t="0" r="0" b="0"/>
                <wp:docPr id="21607" name="Group 21607"/>
                <wp:cNvGraphicFramePr/>
                <a:graphic xmlns:a="http://schemas.openxmlformats.org/drawingml/2006/main">
                  <a:graphicData uri="http://schemas.microsoft.com/office/word/2010/wordprocessingGroup">
                    <wpg:wgp>
                      <wpg:cNvGrpSpPr/>
                      <wpg:grpSpPr>
                        <a:xfrm>
                          <a:off x="0" y="0"/>
                          <a:ext cx="6322722" cy="23950"/>
                          <a:chOff x="0" y="0"/>
                          <a:chExt cx="6322722" cy="23950"/>
                        </a:xfrm>
                      </wpg:grpSpPr>
                      <wps:wsp>
                        <wps:cNvPr id="3219" name="Shape 3219"/>
                        <wps:cNvSpPr/>
                        <wps:spPr>
                          <a:xfrm>
                            <a:off x="0" y="0"/>
                            <a:ext cx="6322722" cy="0"/>
                          </a:xfrm>
                          <a:custGeom>
                            <a:avLst/>
                            <a:gdLst/>
                            <a:ahLst/>
                            <a:cxnLst/>
                            <a:rect l="0" t="0" r="0" b="0"/>
                            <a:pathLst>
                              <a:path w="6322722">
                                <a:moveTo>
                                  <a:pt x="0" y="0"/>
                                </a:moveTo>
                                <a:lnTo>
                                  <a:pt x="6322722" y="0"/>
                                </a:lnTo>
                              </a:path>
                            </a:pathLst>
                          </a:custGeom>
                          <a:ln w="239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8B6E63" id="Group 21607" o:spid="_x0000_s1026" style="width:497.85pt;height:1.9pt;mso-position-horizontal-relative:char;mso-position-vertical-relative:line" coordsize="6322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">
                <v:shape id="Shape 3219" o:spid="_x0000_s1027" style="position:absolute;width:63227;height:0;visibility:visible;mso-wrap-style:square;v-text-anchor:top" coordsize="6322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" path="m,l6322722,e" filled="f" strokeweight=".66528mm">
                  <v:path arrowok="t" textboxrect="0,0,6322722,0"/>
                </v:shape>
                <w10:anchorlock/>
              </v:group>
            </w:pict>
          </mc:Fallback>
        </mc:AlternateContent>
      </w:r>
    </w:p>
    <w:sectPr w:rsidR="004A009C">
      <w:pgSz w:w="11906" w:h="16838"/>
      <w:pgMar w:top="1459" w:right="1020" w:bottom="1265"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1249" w14:textId="77777777" w:rsidR="00297BE8" w:rsidRDefault="00297BE8">
      <w:pPr>
        <w:spacing w:after="0" w:line="240" w:lineRule="auto"/>
      </w:pPr>
      <w:r>
        <w:separator/>
      </w:r>
    </w:p>
  </w:endnote>
  <w:endnote w:type="continuationSeparator" w:id="0">
    <w:p w14:paraId="7191943A" w14:textId="77777777" w:rsidR="00297BE8" w:rsidRDefault="0029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23DE" w14:textId="77777777" w:rsidR="00297BE8" w:rsidRDefault="00297BE8">
      <w:pPr>
        <w:tabs>
          <w:tab w:val="center" w:pos="2876"/>
        </w:tabs>
        <w:spacing w:after="62"/>
      </w:pPr>
      <w:r>
        <w:separator/>
      </w:r>
    </w:p>
  </w:footnote>
  <w:footnote w:type="continuationSeparator" w:id="0">
    <w:p w14:paraId="1026EC04" w14:textId="77777777" w:rsidR="00297BE8" w:rsidRDefault="00297BE8">
      <w:pPr>
        <w:tabs>
          <w:tab w:val="center" w:pos="2876"/>
        </w:tabs>
        <w:spacing w:after="62"/>
      </w:pPr>
      <w:r>
        <w:continuationSeparator/>
      </w:r>
    </w:p>
  </w:footnote>
  <w:footnote w:id="1">
    <w:p w14:paraId="23F573DC" w14:textId="77777777" w:rsidR="004A009C" w:rsidRDefault="00B365B2">
      <w:pPr>
        <w:pStyle w:val="footnotedescription"/>
        <w:tabs>
          <w:tab w:val="center" w:pos="2876"/>
        </w:tabs>
        <w:spacing w:after="62"/>
        <w:jc w:val="left"/>
      </w:pPr>
      <w:r>
        <w:rPr>
          <w:rStyle w:val="footnotemark"/>
        </w:rPr>
        <w:footnoteRef/>
      </w:r>
      <w:r>
        <w:t xml:space="preserve"> </w:t>
      </w:r>
      <w:r>
        <w:rPr>
          <w:vertAlign w:val="superscript"/>
        </w:rPr>
        <w:t>)</w:t>
      </w:r>
      <w:r>
        <w:t xml:space="preserve"> </w:t>
      </w:r>
      <w:r>
        <w:tab/>
        <w:t xml:space="preserve">Jeżeli działka nie posiada adresu, należy opisowo określić jej położenie. </w:t>
      </w:r>
    </w:p>
  </w:footnote>
  <w:footnote w:id="2">
    <w:p w14:paraId="1A6A771F" w14:textId="77777777" w:rsidR="004A009C" w:rsidRDefault="00B365B2">
      <w:pPr>
        <w:pStyle w:val="footnotedescription"/>
        <w:tabs>
          <w:tab w:val="right" w:pos="9866"/>
        </w:tabs>
        <w:jc w:val="left"/>
      </w:pPr>
      <w:r>
        <w:rPr>
          <w:rStyle w:val="footnotemark"/>
        </w:rPr>
        <w:footnoteRef/>
      </w:r>
      <w:r>
        <w:t xml:space="preserve"> </w:t>
      </w:r>
      <w:r>
        <w:rPr>
          <w:vertAlign w:val="superscript"/>
        </w:rPr>
        <w:t>)</w:t>
      </w:r>
      <w:r>
        <w:t xml:space="preserve"> </w:t>
      </w:r>
      <w:r>
        <w:tab/>
        <w:t xml:space="preserve">W szczególności imię i nazwisko albo firma właściciela lub użytkownika wieczystego oraz istniejące obciążenia na nieruchomości. </w:t>
      </w:r>
    </w:p>
  </w:footnote>
  <w:footnote w:id="3">
    <w:p w14:paraId="01689C95" w14:textId="77777777" w:rsidR="004A009C" w:rsidRDefault="00B365B2">
      <w:pPr>
        <w:pStyle w:val="footnotedescription"/>
        <w:tabs>
          <w:tab w:val="center" w:pos="4426"/>
        </w:tabs>
        <w:jc w:val="left"/>
      </w:pPr>
      <w:r>
        <w:rPr>
          <w:rStyle w:val="footnotemark"/>
        </w:rPr>
        <w:footnoteRef/>
      </w:r>
      <w:r>
        <w:t xml:space="preserve"> </w:t>
      </w:r>
      <w:r>
        <w:rPr>
          <w:vertAlign w:val="superscript"/>
        </w:rPr>
        <w:t>)</w:t>
      </w:r>
      <w:r>
        <w:t xml:space="preserve"> </w:t>
      </w:r>
      <w:r>
        <w:tab/>
        <w:t xml:space="preserve">W przypadku braku miejscowego planu zagospodarowania przestrzennego umieszcza się informację „Brak planu”. </w:t>
      </w:r>
    </w:p>
  </w:footnote>
  <w:footnote w:id="4">
    <w:p w14:paraId="254BBC13" w14:textId="77777777" w:rsidR="004A009C" w:rsidRDefault="00B365B2">
      <w:pPr>
        <w:pStyle w:val="footnotedescription"/>
        <w:spacing w:line="332" w:lineRule="auto"/>
        <w:ind w:left="281" w:hanging="281"/>
      </w:pPr>
      <w:r>
        <w:rPr>
          <w:rStyle w:val="footnotemark"/>
        </w:rPr>
        <w:footnoteRef/>
      </w:r>
      <w:r>
        <w:t xml:space="preserve"> </w:t>
      </w:r>
      <w:r>
        <w:rPr>
          <w:vertAlign w:val="superscript"/>
        </w:rPr>
        <w:t>)</w:t>
      </w:r>
      <w: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4E59"/>
    <w:multiLevelType w:val="hybridMultilevel"/>
    <w:tmpl w:val="ED4C2AC0"/>
    <w:lvl w:ilvl="0" w:tplc="63C29360">
      <w:start w:val="1"/>
      <w:numFmt w:val="decimal"/>
      <w:lvlText w:val="%1)"/>
      <w:lvlJc w:val="left"/>
      <w:pPr>
        <w:ind w:left="7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BEF010">
      <w:start w:val="1"/>
      <w:numFmt w:val="lowerLetter"/>
      <w:lvlText w:val="%2)"/>
      <w:lvlJc w:val="left"/>
      <w:pPr>
        <w:ind w:left="1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129778">
      <w:start w:val="1"/>
      <w:numFmt w:val="lowerRoman"/>
      <w:lvlText w:val="%3"/>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04D596">
      <w:start w:val="1"/>
      <w:numFmt w:val="decimal"/>
      <w:lvlText w:val="%4"/>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2E3C68">
      <w:start w:val="1"/>
      <w:numFmt w:val="lowerLetter"/>
      <w:lvlText w:val="%5"/>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B4363A">
      <w:start w:val="1"/>
      <w:numFmt w:val="lowerRoman"/>
      <w:lvlText w:val="%6"/>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141560">
      <w:start w:val="1"/>
      <w:numFmt w:val="decimal"/>
      <w:lvlText w:val="%7"/>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6E7398">
      <w:start w:val="1"/>
      <w:numFmt w:val="lowerLetter"/>
      <w:lvlText w:val="%8"/>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2469DE">
      <w:start w:val="1"/>
      <w:numFmt w:val="lowerRoman"/>
      <w:lvlText w:val="%9"/>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513A2C"/>
    <w:multiLevelType w:val="hybridMultilevel"/>
    <w:tmpl w:val="73C6FFE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C1A5A65"/>
    <w:multiLevelType w:val="hybridMultilevel"/>
    <w:tmpl w:val="3A5A07D4"/>
    <w:lvl w:ilvl="0" w:tplc="A6FA613E">
      <w:start w:val="1"/>
      <w:numFmt w:val="upperRoman"/>
      <w:lvlText w:val="%1."/>
      <w:lvlJc w:val="left"/>
      <w:pPr>
        <w:ind w:left="10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2A6193E">
      <w:start w:val="1"/>
      <w:numFmt w:val="lowerLetter"/>
      <w:lvlText w:val="%2"/>
      <w:lvlJc w:val="left"/>
      <w:pPr>
        <w:ind w:left="14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9D8E50A">
      <w:start w:val="1"/>
      <w:numFmt w:val="lowerRoman"/>
      <w:lvlText w:val="%3"/>
      <w:lvlJc w:val="left"/>
      <w:pPr>
        <w:ind w:left="21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5EE5D56">
      <w:start w:val="1"/>
      <w:numFmt w:val="decimal"/>
      <w:lvlText w:val="%4"/>
      <w:lvlJc w:val="left"/>
      <w:pPr>
        <w:ind w:left="28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A3E2D54">
      <w:start w:val="1"/>
      <w:numFmt w:val="lowerLetter"/>
      <w:lvlText w:val="%5"/>
      <w:lvlJc w:val="left"/>
      <w:pPr>
        <w:ind w:left="35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5E6E59C">
      <w:start w:val="1"/>
      <w:numFmt w:val="lowerRoman"/>
      <w:lvlText w:val="%6"/>
      <w:lvlJc w:val="left"/>
      <w:pPr>
        <w:ind w:left="43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B6A08D4">
      <w:start w:val="1"/>
      <w:numFmt w:val="decimal"/>
      <w:lvlText w:val="%7"/>
      <w:lvlJc w:val="left"/>
      <w:pPr>
        <w:ind w:left="50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EA0548E">
      <w:start w:val="1"/>
      <w:numFmt w:val="lowerLetter"/>
      <w:lvlText w:val="%8"/>
      <w:lvlJc w:val="left"/>
      <w:pPr>
        <w:ind w:left="57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2B696CC">
      <w:start w:val="1"/>
      <w:numFmt w:val="lowerRoman"/>
      <w:lvlText w:val="%9"/>
      <w:lvlJc w:val="left"/>
      <w:pPr>
        <w:ind w:left="64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6E0896"/>
    <w:multiLevelType w:val="hybridMultilevel"/>
    <w:tmpl w:val="11C65A76"/>
    <w:lvl w:ilvl="0" w:tplc="ED50B0B6">
      <w:start w:val="1"/>
      <w:numFmt w:val="bullet"/>
      <w:lvlText w:val="–"/>
      <w:lvlJc w:val="left"/>
      <w:pPr>
        <w:ind w:left="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50E98C">
      <w:start w:val="1"/>
      <w:numFmt w:val="bullet"/>
      <w:lvlText w:val="o"/>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12B4F8">
      <w:start w:val="1"/>
      <w:numFmt w:val="bullet"/>
      <w:lvlText w:val="▪"/>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FAAA78">
      <w:start w:val="1"/>
      <w:numFmt w:val="bullet"/>
      <w:lvlText w:val="•"/>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CE001C">
      <w:start w:val="1"/>
      <w:numFmt w:val="bullet"/>
      <w:lvlText w:val="o"/>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DCDF1C">
      <w:start w:val="1"/>
      <w:numFmt w:val="bullet"/>
      <w:lvlText w:val="▪"/>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C0FF84">
      <w:start w:val="1"/>
      <w:numFmt w:val="bullet"/>
      <w:lvlText w:val="•"/>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02173E">
      <w:start w:val="1"/>
      <w:numFmt w:val="bullet"/>
      <w:lvlText w:val="o"/>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10ED0C">
      <w:start w:val="1"/>
      <w:numFmt w:val="bullet"/>
      <w:lvlText w:val="▪"/>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6B6706B"/>
    <w:multiLevelType w:val="hybridMultilevel"/>
    <w:tmpl w:val="00541582"/>
    <w:lvl w:ilvl="0" w:tplc="9D2E684C">
      <w:start w:val="3"/>
      <w:numFmt w:val="decimal"/>
      <w:lvlText w:val="%1)"/>
      <w:lvlJc w:val="left"/>
      <w:pPr>
        <w:ind w:left="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77AB5D2">
      <w:start w:val="1"/>
      <w:numFmt w:val="decimal"/>
      <w:lvlText w:val="%2)"/>
      <w:lvlJc w:val="left"/>
      <w:pPr>
        <w:ind w:left="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94B614">
      <w:start w:val="1"/>
      <w:numFmt w:val="lowerRoman"/>
      <w:lvlText w:val="%3"/>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B22448">
      <w:start w:val="1"/>
      <w:numFmt w:val="decimal"/>
      <w:lvlText w:val="%4"/>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D4446C">
      <w:start w:val="1"/>
      <w:numFmt w:val="lowerLetter"/>
      <w:lvlText w:val="%5"/>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86DBBC">
      <w:start w:val="1"/>
      <w:numFmt w:val="lowerRoman"/>
      <w:lvlText w:val="%6"/>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B16151E">
      <w:start w:val="1"/>
      <w:numFmt w:val="decimal"/>
      <w:lvlText w:val="%7"/>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7C337C">
      <w:start w:val="1"/>
      <w:numFmt w:val="lowerLetter"/>
      <w:lvlText w:val="%8"/>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8CBA6">
      <w:start w:val="1"/>
      <w:numFmt w:val="lowerRoman"/>
      <w:lvlText w:val="%9"/>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E31AA5"/>
    <w:multiLevelType w:val="hybridMultilevel"/>
    <w:tmpl w:val="E1B8D76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50F915DF"/>
    <w:multiLevelType w:val="hybridMultilevel"/>
    <w:tmpl w:val="9A4A8E28"/>
    <w:lvl w:ilvl="0" w:tplc="1F48976A">
      <w:start w:val="1"/>
      <w:numFmt w:val="decimal"/>
      <w:lvlText w:val="%1)"/>
      <w:lvlJc w:val="left"/>
      <w:pPr>
        <w:ind w:left="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22AA8E">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2A1B9E">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8283E6">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44606A">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32BA3E">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180D2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387DFE">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64A686">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26189D"/>
    <w:multiLevelType w:val="hybridMultilevel"/>
    <w:tmpl w:val="F850CD7C"/>
    <w:lvl w:ilvl="0" w:tplc="8B1C427C">
      <w:start w:val="1"/>
      <w:numFmt w:val="lowerLetter"/>
      <w:lvlText w:val="%1)"/>
      <w:lvlJc w:val="left"/>
      <w:pPr>
        <w:ind w:left="1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A697B4">
      <w:start w:val="1"/>
      <w:numFmt w:val="lowerLetter"/>
      <w:lvlText w:val="%2"/>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08D640">
      <w:start w:val="1"/>
      <w:numFmt w:val="lowerRoman"/>
      <w:lvlText w:val="%3"/>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2CEEBA">
      <w:start w:val="1"/>
      <w:numFmt w:val="decimal"/>
      <w:lvlText w:val="%4"/>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D217BA">
      <w:start w:val="1"/>
      <w:numFmt w:val="lowerLetter"/>
      <w:lvlText w:val="%5"/>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A0F656">
      <w:start w:val="1"/>
      <w:numFmt w:val="lowerRoman"/>
      <w:lvlText w:val="%6"/>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C6020C">
      <w:start w:val="1"/>
      <w:numFmt w:val="decimal"/>
      <w:lvlText w:val="%7"/>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B667CA">
      <w:start w:val="1"/>
      <w:numFmt w:val="lowerLetter"/>
      <w:lvlText w:val="%8"/>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40C570">
      <w:start w:val="1"/>
      <w:numFmt w:val="lowerRoman"/>
      <w:lvlText w:val="%9"/>
      <w:lvlJc w:val="left"/>
      <w:pPr>
        <w:ind w:left="6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C61B49"/>
    <w:multiLevelType w:val="hybridMultilevel"/>
    <w:tmpl w:val="8A265E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734573CB"/>
    <w:multiLevelType w:val="hybridMultilevel"/>
    <w:tmpl w:val="104C81A8"/>
    <w:lvl w:ilvl="0" w:tplc="98D814CE">
      <w:start w:val="1"/>
      <w:numFmt w:val="decimal"/>
      <w:lvlText w:val="%1."/>
      <w:lvlJc w:val="left"/>
      <w:pPr>
        <w:ind w:left="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64AF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68801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007B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EEF6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D477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4AB5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4C48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7A53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29283810">
    <w:abstractNumId w:val="2"/>
  </w:num>
  <w:num w:numId="2" w16cid:durableId="1010721063">
    <w:abstractNumId w:val="4"/>
  </w:num>
  <w:num w:numId="3" w16cid:durableId="1472671454">
    <w:abstractNumId w:val="9"/>
  </w:num>
  <w:num w:numId="4" w16cid:durableId="128938189">
    <w:abstractNumId w:val="6"/>
  </w:num>
  <w:num w:numId="5" w16cid:durableId="934166039">
    <w:abstractNumId w:val="0"/>
  </w:num>
  <w:num w:numId="6" w16cid:durableId="1560749647">
    <w:abstractNumId w:val="7"/>
  </w:num>
  <w:num w:numId="7" w16cid:durableId="104885938">
    <w:abstractNumId w:val="3"/>
  </w:num>
  <w:num w:numId="8" w16cid:durableId="842163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0752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377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9C"/>
    <w:rsid w:val="00043444"/>
    <w:rsid w:val="00051AE3"/>
    <w:rsid w:val="00057BD8"/>
    <w:rsid w:val="00064189"/>
    <w:rsid w:val="000678FB"/>
    <w:rsid w:val="000A02E0"/>
    <w:rsid w:val="000B3B50"/>
    <w:rsid w:val="000B63BE"/>
    <w:rsid w:val="000D08DE"/>
    <w:rsid w:val="000D0907"/>
    <w:rsid w:val="000E70A6"/>
    <w:rsid w:val="000F4880"/>
    <w:rsid w:val="00181427"/>
    <w:rsid w:val="001F6733"/>
    <w:rsid w:val="002076A7"/>
    <w:rsid w:val="00213237"/>
    <w:rsid w:val="00241232"/>
    <w:rsid w:val="00297BE8"/>
    <w:rsid w:val="002A34B6"/>
    <w:rsid w:val="002C0885"/>
    <w:rsid w:val="003060C0"/>
    <w:rsid w:val="00316E6F"/>
    <w:rsid w:val="00331110"/>
    <w:rsid w:val="00390B4C"/>
    <w:rsid w:val="0040087B"/>
    <w:rsid w:val="004155E4"/>
    <w:rsid w:val="00416815"/>
    <w:rsid w:val="00424B51"/>
    <w:rsid w:val="0043391B"/>
    <w:rsid w:val="004918A1"/>
    <w:rsid w:val="004A009C"/>
    <w:rsid w:val="004B1CC7"/>
    <w:rsid w:val="004B1EBA"/>
    <w:rsid w:val="004C1105"/>
    <w:rsid w:val="004C56DB"/>
    <w:rsid w:val="004F1B07"/>
    <w:rsid w:val="0050021C"/>
    <w:rsid w:val="0050156F"/>
    <w:rsid w:val="0051606F"/>
    <w:rsid w:val="005214DA"/>
    <w:rsid w:val="0053274D"/>
    <w:rsid w:val="00551B71"/>
    <w:rsid w:val="00552FFF"/>
    <w:rsid w:val="00571167"/>
    <w:rsid w:val="00585BAF"/>
    <w:rsid w:val="005B3ACA"/>
    <w:rsid w:val="005C58C5"/>
    <w:rsid w:val="005F173B"/>
    <w:rsid w:val="005F5633"/>
    <w:rsid w:val="00602D99"/>
    <w:rsid w:val="00605885"/>
    <w:rsid w:val="0061339C"/>
    <w:rsid w:val="006A3997"/>
    <w:rsid w:val="006A73D1"/>
    <w:rsid w:val="006C13A9"/>
    <w:rsid w:val="006C3E4C"/>
    <w:rsid w:val="006C64C7"/>
    <w:rsid w:val="006D1B0A"/>
    <w:rsid w:val="006D6F4A"/>
    <w:rsid w:val="006E2E88"/>
    <w:rsid w:val="0074041F"/>
    <w:rsid w:val="007D472A"/>
    <w:rsid w:val="007E2199"/>
    <w:rsid w:val="008135EA"/>
    <w:rsid w:val="00813C00"/>
    <w:rsid w:val="00822535"/>
    <w:rsid w:val="008313F7"/>
    <w:rsid w:val="0085734B"/>
    <w:rsid w:val="008E228F"/>
    <w:rsid w:val="008E4007"/>
    <w:rsid w:val="009102F0"/>
    <w:rsid w:val="00926A6F"/>
    <w:rsid w:val="0094727B"/>
    <w:rsid w:val="009A3728"/>
    <w:rsid w:val="009C7322"/>
    <w:rsid w:val="00A1142A"/>
    <w:rsid w:val="00A220A5"/>
    <w:rsid w:val="00A31F15"/>
    <w:rsid w:val="00A65DD3"/>
    <w:rsid w:val="00A949D1"/>
    <w:rsid w:val="00AA36BF"/>
    <w:rsid w:val="00AC7C96"/>
    <w:rsid w:val="00AE254F"/>
    <w:rsid w:val="00AE472F"/>
    <w:rsid w:val="00AF4F76"/>
    <w:rsid w:val="00B0575D"/>
    <w:rsid w:val="00B365B2"/>
    <w:rsid w:val="00B61F64"/>
    <w:rsid w:val="00B85659"/>
    <w:rsid w:val="00C64FE0"/>
    <w:rsid w:val="00CB73DE"/>
    <w:rsid w:val="00CD517E"/>
    <w:rsid w:val="00CD69B1"/>
    <w:rsid w:val="00CE3D5F"/>
    <w:rsid w:val="00D04126"/>
    <w:rsid w:val="00D32EFB"/>
    <w:rsid w:val="00D339F6"/>
    <w:rsid w:val="00D42E39"/>
    <w:rsid w:val="00D666BF"/>
    <w:rsid w:val="00D85171"/>
    <w:rsid w:val="00D85926"/>
    <w:rsid w:val="00D967B0"/>
    <w:rsid w:val="00DA7B83"/>
    <w:rsid w:val="00DB40AD"/>
    <w:rsid w:val="00DB55AE"/>
    <w:rsid w:val="00DD152C"/>
    <w:rsid w:val="00DD171D"/>
    <w:rsid w:val="00DD1B22"/>
    <w:rsid w:val="00DE65EC"/>
    <w:rsid w:val="00DF3970"/>
    <w:rsid w:val="00DF6D9A"/>
    <w:rsid w:val="00E00539"/>
    <w:rsid w:val="00E265D2"/>
    <w:rsid w:val="00E46806"/>
    <w:rsid w:val="00E61F59"/>
    <w:rsid w:val="00E65546"/>
    <w:rsid w:val="00E94697"/>
    <w:rsid w:val="00ED2888"/>
    <w:rsid w:val="00ED35BB"/>
    <w:rsid w:val="00EF0F20"/>
    <w:rsid w:val="00F00E4F"/>
    <w:rsid w:val="00F10E88"/>
    <w:rsid w:val="00F174CA"/>
    <w:rsid w:val="00F25621"/>
    <w:rsid w:val="00F36864"/>
    <w:rsid w:val="00F50A52"/>
    <w:rsid w:val="00F575D5"/>
    <w:rsid w:val="00F71F28"/>
    <w:rsid w:val="00F827BD"/>
    <w:rsid w:val="00F94D4B"/>
    <w:rsid w:val="00FA4FFF"/>
    <w:rsid w:val="00FB6B3F"/>
    <w:rsid w:val="00FD130F"/>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C38"/>
  <w15:docId w15:val="{02C4FE19-B7DF-4F98-BDEB-EB925E97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jc w:val="center"/>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paragraph" w:customStyle="1" w:styleId="footnotedescription">
    <w:name w:val="footnote description"/>
    <w:next w:val="Normalny"/>
    <w:link w:val="footnotedescriptionChar"/>
    <w:hidden/>
    <w:pPr>
      <w:spacing w:after="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0B3B50"/>
    <w:rPr>
      <w:color w:val="0563C1" w:themeColor="hyperlink"/>
      <w:u w:val="single"/>
    </w:rPr>
  </w:style>
  <w:style w:type="character" w:styleId="Nierozpoznanawzmianka">
    <w:name w:val="Unresolved Mention"/>
    <w:basedOn w:val="Domylnaczcionkaakapitu"/>
    <w:uiPriority w:val="99"/>
    <w:semiHidden/>
    <w:unhideWhenUsed/>
    <w:rsid w:val="000B3B50"/>
    <w:rPr>
      <w:color w:val="605E5C"/>
      <w:shd w:val="clear" w:color="auto" w:fill="E1DFDD"/>
    </w:rPr>
  </w:style>
  <w:style w:type="paragraph" w:styleId="Akapitzlist">
    <w:name w:val="List Paragraph"/>
    <w:basedOn w:val="Normalny"/>
    <w:uiPriority w:val="34"/>
    <w:qFormat/>
    <w:rsid w:val="00D85171"/>
    <w:pPr>
      <w:widowControl w:val="0"/>
      <w:autoSpaceDE w:val="0"/>
      <w:autoSpaceDN w:val="0"/>
      <w:adjustRightInd w:val="0"/>
      <w:spacing w:after="0" w:line="360" w:lineRule="auto"/>
      <w:ind w:left="720"/>
      <w:contextualSpacing/>
    </w:pPr>
    <w:rPr>
      <w:rFonts w:ascii="Times New Roman" w:eastAsia="Times New Roman" w:hAnsi="Times New Roman" w:cs="Arial"/>
      <w:color w:val="auto"/>
      <w:sz w:val="24"/>
      <w:szCs w:val="20"/>
    </w:rPr>
  </w:style>
  <w:style w:type="paragraph" w:customStyle="1" w:styleId="Akapitzlist1">
    <w:name w:val="Akapit z listą1"/>
    <w:basedOn w:val="Normalny"/>
    <w:rsid w:val="00602D99"/>
    <w:pPr>
      <w:spacing w:after="0" w:line="240" w:lineRule="auto"/>
      <w:ind w:left="720"/>
      <w:contextualSpacing/>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41439">
      <w:bodyDiv w:val="1"/>
      <w:marLeft w:val="0"/>
      <w:marRight w:val="0"/>
      <w:marTop w:val="0"/>
      <w:marBottom w:val="0"/>
      <w:divBdr>
        <w:top w:val="none" w:sz="0" w:space="0" w:color="auto"/>
        <w:left w:val="none" w:sz="0" w:space="0" w:color="auto"/>
        <w:bottom w:val="none" w:sz="0" w:space="0" w:color="auto"/>
        <w:right w:val="none" w:sz="0" w:space="0" w:color="auto"/>
      </w:divBdr>
    </w:div>
    <w:div w:id="265039726">
      <w:bodyDiv w:val="1"/>
      <w:marLeft w:val="0"/>
      <w:marRight w:val="0"/>
      <w:marTop w:val="0"/>
      <w:marBottom w:val="0"/>
      <w:divBdr>
        <w:top w:val="none" w:sz="0" w:space="0" w:color="auto"/>
        <w:left w:val="none" w:sz="0" w:space="0" w:color="auto"/>
        <w:bottom w:val="none" w:sz="0" w:space="0" w:color="auto"/>
        <w:right w:val="none" w:sz="0" w:space="0" w:color="auto"/>
      </w:divBdr>
    </w:div>
    <w:div w:id="293871221">
      <w:bodyDiv w:val="1"/>
      <w:marLeft w:val="0"/>
      <w:marRight w:val="0"/>
      <w:marTop w:val="0"/>
      <w:marBottom w:val="0"/>
      <w:divBdr>
        <w:top w:val="none" w:sz="0" w:space="0" w:color="auto"/>
        <w:left w:val="none" w:sz="0" w:space="0" w:color="auto"/>
        <w:bottom w:val="none" w:sz="0" w:space="0" w:color="auto"/>
        <w:right w:val="none" w:sz="0" w:space="0" w:color="auto"/>
      </w:divBdr>
    </w:div>
    <w:div w:id="391774698">
      <w:bodyDiv w:val="1"/>
      <w:marLeft w:val="0"/>
      <w:marRight w:val="0"/>
      <w:marTop w:val="0"/>
      <w:marBottom w:val="0"/>
      <w:divBdr>
        <w:top w:val="none" w:sz="0" w:space="0" w:color="auto"/>
        <w:left w:val="none" w:sz="0" w:space="0" w:color="auto"/>
        <w:bottom w:val="none" w:sz="0" w:space="0" w:color="auto"/>
        <w:right w:val="none" w:sz="0" w:space="0" w:color="auto"/>
      </w:divBdr>
    </w:div>
    <w:div w:id="456878859">
      <w:bodyDiv w:val="1"/>
      <w:marLeft w:val="0"/>
      <w:marRight w:val="0"/>
      <w:marTop w:val="0"/>
      <w:marBottom w:val="0"/>
      <w:divBdr>
        <w:top w:val="none" w:sz="0" w:space="0" w:color="auto"/>
        <w:left w:val="none" w:sz="0" w:space="0" w:color="auto"/>
        <w:bottom w:val="none" w:sz="0" w:space="0" w:color="auto"/>
        <w:right w:val="none" w:sz="0" w:space="0" w:color="auto"/>
      </w:divBdr>
    </w:div>
    <w:div w:id="467280622">
      <w:bodyDiv w:val="1"/>
      <w:marLeft w:val="0"/>
      <w:marRight w:val="0"/>
      <w:marTop w:val="0"/>
      <w:marBottom w:val="0"/>
      <w:divBdr>
        <w:top w:val="none" w:sz="0" w:space="0" w:color="auto"/>
        <w:left w:val="none" w:sz="0" w:space="0" w:color="auto"/>
        <w:bottom w:val="none" w:sz="0" w:space="0" w:color="auto"/>
        <w:right w:val="none" w:sz="0" w:space="0" w:color="auto"/>
      </w:divBdr>
    </w:div>
    <w:div w:id="514073147">
      <w:bodyDiv w:val="1"/>
      <w:marLeft w:val="0"/>
      <w:marRight w:val="0"/>
      <w:marTop w:val="0"/>
      <w:marBottom w:val="0"/>
      <w:divBdr>
        <w:top w:val="none" w:sz="0" w:space="0" w:color="auto"/>
        <w:left w:val="none" w:sz="0" w:space="0" w:color="auto"/>
        <w:bottom w:val="none" w:sz="0" w:space="0" w:color="auto"/>
        <w:right w:val="none" w:sz="0" w:space="0" w:color="auto"/>
      </w:divBdr>
    </w:div>
    <w:div w:id="573778024">
      <w:bodyDiv w:val="1"/>
      <w:marLeft w:val="0"/>
      <w:marRight w:val="0"/>
      <w:marTop w:val="0"/>
      <w:marBottom w:val="0"/>
      <w:divBdr>
        <w:top w:val="none" w:sz="0" w:space="0" w:color="auto"/>
        <w:left w:val="none" w:sz="0" w:space="0" w:color="auto"/>
        <w:bottom w:val="none" w:sz="0" w:space="0" w:color="auto"/>
        <w:right w:val="none" w:sz="0" w:space="0" w:color="auto"/>
      </w:divBdr>
    </w:div>
    <w:div w:id="729763949">
      <w:bodyDiv w:val="1"/>
      <w:marLeft w:val="0"/>
      <w:marRight w:val="0"/>
      <w:marTop w:val="0"/>
      <w:marBottom w:val="0"/>
      <w:divBdr>
        <w:top w:val="none" w:sz="0" w:space="0" w:color="auto"/>
        <w:left w:val="none" w:sz="0" w:space="0" w:color="auto"/>
        <w:bottom w:val="none" w:sz="0" w:space="0" w:color="auto"/>
        <w:right w:val="none" w:sz="0" w:space="0" w:color="auto"/>
      </w:divBdr>
    </w:div>
    <w:div w:id="1030839603">
      <w:bodyDiv w:val="1"/>
      <w:marLeft w:val="0"/>
      <w:marRight w:val="0"/>
      <w:marTop w:val="0"/>
      <w:marBottom w:val="0"/>
      <w:divBdr>
        <w:top w:val="none" w:sz="0" w:space="0" w:color="auto"/>
        <w:left w:val="none" w:sz="0" w:space="0" w:color="auto"/>
        <w:bottom w:val="none" w:sz="0" w:space="0" w:color="auto"/>
        <w:right w:val="none" w:sz="0" w:space="0" w:color="auto"/>
      </w:divBdr>
    </w:div>
    <w:div w:id="1062871291">
      <w:bodyDiv w:val="1"/>
      <w:marLeft w:val="0"/>
      <w:marRight w:val="0"/>
      <w:marTop w:val="0"/>
      <w:marBottom w:val="0"/>
      <w:divBdr>
        <w:top w:val="none" w:sz="0" w:space="0" w:color="auto"/>
        <w:left w:val="none" w:sz="0" w:space="0" w:color="auto"/>
        <w:bottom w:val="none" w:sz="0" w:space="0" w:color="auto"/>
        <w:right w:val="none" w:sz="0" w:space="0" w:color="auto"/>
      </w:divBdr>
    </w:div>
    <w:div w:id="1122725874">
      <w:bodyDiv w:val="1"/>
      <w:marLeft w:val="0"/>
      <w:marRight w:val="0"/>
      <w:marTop w:val="0"/>
      <w:marBottom w:val="0"/>
      <w:divBdr>
        <w:top w:val="none" w:sz="0" w:space="0" w:color="auto"/>
        <w:left w:val="none" w:sz="0" w:space="0" w:color="auto"/>
        <w:bottom w:val="none" w:sz="0" w:space="0" w:color="auto"/>
        <w:right w:val="none" w:sz="0" w:space="0" w:color="auto"/>
      </w:divBdr>
    </w:div>
    <w:div w:id="1461219629">
      <w:bodyDiv w:val="1"/>
      <w:marLeft w:val="0"/>
      <w:marRight w:val="0"/>
      <w:marTop w:val="0"/>
      <w:marBottom w:val="0"/>
      <w:divBdr>
        <w:top w:val="none" w:sz="0" w:space="0" w:color="auto"/>
        <w:left w:val="none" w:sz="0" w:space="0" w:color="auto"/>
        <w:bottom w:val="none" w:sz="0" w:space="0" w:color="auto"/>
        <w:right w:val="none" w:sz="0" w:space="0" w:color="auto"/>
      </w:divBdr>
    </w:div>
    <w:div w:id="1535920582">
      <w:bodyDiv w:val="1"/>
      <w:marLeft w:val="0"/>
      <w:marRight w:val="0"/>
      <w:marTop w:val="0"/>
      <w:marBottom w:val="0"/>
      <w:divBdr>
        <w:top w:val="none" w:sz="0" w:space="0" w:color="auto"/>
        <w:left w:val="none" w:sz="0" w:space="0" w:color="auto"/>
        <w:bottom w:val="none" w:sz="0" w:space="0" w:color="auto"/>
        <w:right w:val="none" w:sz="0" w:space="0" w:color="auto"/>
      </w:divBdr>
    </w:div>
    <w:div w:id="1870413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grupavp.pl" TargetMode="Externa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ielonywawer.pl" TargetMode="External"/><Relationship Id="rId4" Type="http://schemas.openxmlformats.org/officeDocument/2006/relationships/settings" Target="settings.xml"/><Relationship Id="rId9" Type="http://schemas.openxmlformats.org/officeDocument/2006/relationships/hyperlink" Target="mailto:vp@grupav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74AC-D5EC-4F41-82CE-1036CB90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5387</Words>
  <Characters>32327</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 Głogowski</dc:creator>
  <cp:keywords/>
  <cp:lastModifiedBy>Katarzyna Gdak</cp:lastModifiedBy>
  <cp:revision>2</cp:revision>
  <cp:lastPrinted>2025-07-30T08:20:00Z</cp:lastPrinted>
  <dcterms:created xsi:type="dcterms:W3CDTF">2025-09-29T10:27:00Z</dcterms:created>
  <dcterms:modified xsi:type="dcterms:W3CDTF">2025-09-29T10:27:00Z</dcterms:modified>
</cp:coreProperties>
</file>