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75CB" w14:textId="77777777" w:rsidR="004A009C" w:rsidRDefault="00B365B2">
      <w:pPr>
        <w:spacing w:after="260" w:line="258" w:lineRule="auto"/>
        <w:ind w:left="5977"/>
        <w:jc w:val="both"/>
      </w:pPr>
      <w:r>
        <w:rPr>
          <w:rFonts w:ascii="Times New Roman" w:eastAsia="Times New Roman" w:hAnsi="Times New Roman" w:cs="Times New Roman"/>
          <w:sz w:val="16"/>
        </w:rPr>
        <w:t>Załącznik do ustawy z dnia 20 maja 2021 r.</w:t>
      </w:r>
      <w:r>
        <w:rPr>
          <w:rFonts w:ascii="Times New Roman" w:eastAsia="Times New Roman" w:hAnsi="Times New Roman" w:cs="Times New Roman"/>
          <w:b/>
          <w:sz w:val="16"/>
        </w:rPr>
        <w:t xml:space="preserve"> </w:t>
      </w:r>
      <w:r>
        <w:rPr>
          <w:rFonts w:ascii="Times New Roman" w:eastAsia="Times New Roman" w:hAnsi="Times New Roman" w:cs="Times New Roman"/>
          <w:sz w:val="16"/>
        </w:rPr>
        <w:t xml:space="preserve">o ochronie praw nabywcy lokalu mieszkalnego lub domu jednorodzinnego oraz Deweloperskim Funduszu Gwarancyjnym (poz. 1177) </w:t>
      </w:r>
    </w:p>
    <w:p w14:paraId="2E977209" w14:textId="77777777" w:rsidR="004A009C" w:rsidRDefault="00B365B2">
      <w:pPr>
        <w:spacing w:after="0" w:line="265" w:lineRule="auto"/>
        <w:ind w:left="-5" w:hanging="10"/>
      </w:pPr>
      <w:r>
        <w:rPr>
          <w:rFonts w:ascii="Times New Roman" w:eastAsia="Times New Roman" w:hAnsi="Times New Roman" w:cs="Times New Roman"/>
          <w:b/>
          <w:sz w:val="20"/>
        </w:rPr>
        <w:t xml:space="preserve">Stan na dzień sporządzenia prospektu informacyjnego </w:t>
      </w:r>
    </w:p>
    <w:p w14:paraId="02FE9445" w14:textId="77777777" w:rsidR="004A009C" w:rsidRDefault="00B365B2">
      <w:pPr>
        <w:spacing w:after="4" w:line="248" w:lineRule="auto"/>
        <w:ind w:left="7091" w:right="1416" w:hanging="10"/>
        <w:jc w:val="both"/>
      </w:pPr>
      <w:r>
        <w:rPr>
          <w:rFonts w:ascii="Times New Roman" w:eastAsia="Times New Roman" w:hAnsi="Times New Roman" w:cs="Times New Roman"/>
          <w:sz w:val="18"/>
        </w:rPr>
        <w:t xml:space="preserve">Data  sporządzenia </w:t>
      </w:r>
    </w:p>
    <w:p w14:paraId="7B8ADC1A" w14:textId="511CD5A3" w:rsidR="004A009C" w:rsidRDefault="00217D0B">
      <w:pPr>
        <w:spacing w:after="0"/>
        <w:ind w:left="5007"/>
        <w:jc w:val="center"/>
        <w:rPr>
          <w:rFonts w:ascii="Times New Roman" w:eastAsia="Times New Roman" w:hAnsi="Times New Roman" w:cs="Times New Roman"/>
          <w:sz w:val="18"/>
        </w:rPr>
      </w:pPr>
      <w:r>
        <w:rPr>
          <w:rFonts w:ascii="Times New Roman" w:eastAsia="Times New Roman" w:hAnsi="Times New Roman" w:cs="Times New Roman"/>
          <w:sz w:val="18"/>
        </w:rPr>
        <w:t>P</w:t>
      </w:r>
      <w:r w:rsidR="00B365B2">
        <w:rPr>
          <w:rFonts w:ascii="Times New Roman" w:eastAsia="Times New Roman" w:hAnsi="Times New Roman" w:cs="Times New Roman"/>
          <w:sz w:val="18"/>
        </w:rPr>
        <w:t>rospektu</w:t>
      </w:r>
      <w:r>
        <w:rPr>
          <w:rFonts w:ascii="Times New Roman" w:eastAsia="Times New Roman" w:hAnsi="Times New Roman" w:cs="Times New Roman"/>
          <w:sz w:val="18"/>
        </w:rPr>
        <w:t xml:space="preserve">: </w:t>
      </w:r>
      <w:r w:rsidR="00C20706">
        <w:rPr>
          <w:rFonts w:ascii="Times New Roman" w:eastAsia="Times New Roman" w:hAnsi="Times New Roman" w:cs="Times New Roman"/>
          <w:sz w:val="18"/>
        </w:rPr>
        <w:t>Listopad</w:t>
      </w:r>
      <w:r>
        <w:rPr>
          <w:rFonts w:ascii="Times New Roman" w:eastAsia="Times New Roman" w:hAnsi="Times New Roman" w:cs="Times New Roman"/>
          <w:sz w:val="18"/>
        </w:rPr>
        <w:t xml:space="preserve"> 2023</w:t>
      </w:r>
    </w:p>
    <w:p w14:paraId="5B6EB869" w14:textId="2350A8D0" w:rsidR="008E412F" w:rsidRDefault="008E412F">
      <w:pPr>
        <w:spacing w:after="0"/>
        <w:ind w:left="5007"/>
        <w:jc w:val="center"/>
        <w:rPr>
          <w:rFonts w:ascii="Times New Roman" w:eastAsia="Times New Roman" w:hAnsi="Times New Roman" w:cs="Times New Roman"/>
          <w:sz w:val="18"/>
        </w:rPr>
      </w:pPr>
      <w:r>
        <w:rPr>
          <w:rFonts w:ascii="Times New Roman" w:eastAsia="Times New Roman" w:hAnsi="Times New Roman" w:cs="Times New Roman"/>
          <w:sz w:val="18"/>
        </w:rPr>
        <w:t xml:space="preserve">Zadanie inwestycyjne nr </w:t>
      </w:r>
      <w:r w:rsidR="00782A59">
        <w:rPr>
          <w:rFonts w:ascii="Times New Roman" w:eastAsia="Times New Roman" w:hAnsi="Times New Roman" w:cs="Times New Roman"/>
          <w:sz w:val="18"/>
        </w:rPr>
        <w:t>1</w:t>
      </w:r>
    </w:p>
    <w:p w14:paraId="18226756" w14:textId="65FC80FF" w:rsidR="008E412F" w:rsidRDefault="008E412F">
      <w:pPr>
        <w:spacing w:after="0"/>
        <w:ind w:left="5007"/>
        <w:jc w:val="center"/>
      </w:pPr>
      <w:r w:rsidRPr="00605E2B">
        <w:rPr>
          <w:rFonts w:cs="Arial"/>
          <w:sz w:val="20"/>
          <w:szCs w:val="20"/>
        </w:rPr>
        <w:t xml:space="preserve">(BUD </w:t>
      </w:r>
      <w:r w:rsidR="00782A59">
        <w:rPr>
          <w:rFonts w:cs="Arial"/>
          <w:sz w:val="20"/>
          <w:szCs w:val="20"/>
        </w:rPr>
        <w:t>1</w:t>
      </w:r>
      <w:r w:rsidRPr="00605E2B">
        <w:rPr>
          <w:rFonts w:cs="Arial"/>
          <w:sz w:val="20"/>
          <w:szCs w:val="20"/>
        </w:rPr>
        <w:t xml:space="preserve"> – M</w:t>
      </w:r>
      <w:r w:rsidR="00782A59">
        <w:rPr>
          <w:rFonts w:cs="Arial"/>
          <w:sz w:val="20"/>
          <w:szCs w:val="20"/>
        </w:rPr>
        <w:t>10</w:t>
      </w:r>
      <w:r w:rsidRPr="00605E2B">
        <w:rPr>
          <w:rFonts w:cs="Arial"/>
          <w:sz w:val="20"/>
          <w:szCs w:val="20"/>
        </w:rPr>
        <w:t xml:space="preserve">, BUD </w:t>
      </w:r>
      <w:r w:rsidR="00782A59">
        <w:rPr>
          <w:rFonts w:cs="Arial"/>
          <w:sz w:val="20"/>
          <w:szCs w:val="20"/>
        </w:rPr>
        <w:t>2</w:t>
      </w:r>
      <w:r w:rsidRPr="00605E2B">
        <w:rPr>
          <w:rFonts w:cs="Arial"/>
          <w:sz w:val="20"/>
          <w:szCs w:val="20"/>
        </w:rPr>
        <w:t xml:space="preserve"> – M</w:t>
      </w:r>
      <w:r w:rsidR="00C20706">
        <w:rPr>
          <w:rFonts w:cs="Arial"/>
          <w:sz w:val="20"/>
          <w:szCs w:val="20"/>
        </w:rPr>
        <w:t>1</w:t>
      </w:r>
      <w:r w:rsidR="00782A59">
        <w:rPr>
          <w:rFonts w:cs="Arial"/>
          <w:sz w:val="20"/>
          <w:szCs w:val="20"/>
        </w:rPr>
        <w:t>2</w:t>
      </w:r>
      <w:r w:rsidRPr="00605E2B">
        <w:rPr>
          <w:rFonts w:cs="Arial"/>
          <w:sz w:val="20"/>
          <w:szCs w:val="20"/>
        </w:rPr>
        <w:t>)</w:t>
      </w:r>
    </w:p>
    <w:p w14:paraId="192AC4C4" w14:textId="77777777" w:rsidR="004A009C" w:rsidRDefault="00B365B2">
      <w:pPr>
        <w:spacing w:after="142"/>
        <w:ind w:left="45"/>
        <w:jc w:val="center"/>
      </w:pPr>
      <w:r>
        <w:rPr>
          <w:rFonts w:ascii="Times New Roman" w:eastAsia="Times New Roman" w:hAnsi="Times New Roman" w:cs="Times New Roman"/>
          <w:b/>
          <w:sz w:val="18"/>
        </w:rPr>
        <w:t xml:space="preserve"> </w:t>
      </w:r>
    </w:p>
    <w:p w14:paraId="18CB4C3A" w14:textId="77777777" w:rsidR="004A009C" w:rsidRDefault="00B365B2">
      <w:pPr>
        <w:pStyle w:val="Nagwek1"/>
        <w:spacing w:after="125"/>
        <w:ind w:right="1"/>
      </w:pPr>
      <w:r>
        <w:t xml:space="preserve">PROSPEKT INFORMACYJNY </w:t>
      </w:r>
    </w:p>
    <w:p w14:paraId="4A380950" w14:textId="77777777" w:rsidR="004A009C" w:rsidRDefault="00B365B2">
      <w:pPr>
        <w:spacing w:after="165" w:line="265" w:lineRule="auto"/>
        <w:ind w:left="-5" w:hanging="10"/>
      </w:pPr>
      <w:r>
        <w:rPr>
          <w:rFonts w:ascii="Times New Roman" w:eastAsia="Times New Roman" w:hAnsi="Times New Roman" w:cs="Times New Roman"/>
          <w:b/>
          <w:sz w:val="20"/>
        </w:rPr>
        <w:t xml:space="preserve">CZĘŚĆ OGÓLNA </w:t>
      </w:r>
    </w:p>
    <w:p w14:paraId="62CA1D66" w14:textId="77777777" w:rsidR="004A009C" w:rsidRDefault="00B365B2">
      <w:pPr>
        <w:numPr>
          <w:ilvl w:val="0"/>
          <w:numId w:val="1"/>
        </w:numPr>
        <w:spacing w:after="0" w:line="265" w:lineRule="auto"/>
        <w:ind w:hanging="720"/>
      </w:pPr>
      <w:r>
        <w:rPr>
          <w:rFonts w:ascii="Times New Roman" w:eastAsia="Times New Roman" w:hAnsi="Times New Roman" w:cs="Times New Roman"/>
          <w:b/>
          <w:sz w:val="20"/>
        </w:rPr>
        <w:t xml:space="preserve">DANE IDENTYFIKACYJNE I KONTAKTOWE DOTYCZĄCE DEWELOPERA </w:t>
      </w:r>
    </w:p>
    <w:tbl>
      <w:tblPr>
        <w:tblStyle w:val="TableGrid"/>
        <w:tblW w:w="9648" w:type="dxa"/>
        <w:tblInd w:w="109" w:type="dxa"/>
        <w:tblCellMar>
          <w:top w:w="191" w:type="dxa"/>
          <w:left w:w="107" w:type="dxa"/>
          <w:right w:w="63" w:type="dxa"/>
        </w:tblCellMar>
        <w:tblLook w:val="04A0" w:firstRow="1" w:lastRow="0" w:firstColumn="1" w:lastColumn="0" w:noHBand="0" w:noVBand="1"/>
      </w:tblPr>
      <w:tblGrid>
        <w:gridCol w:w="2987"/>
        <w:gridCol w:w="3242"/>
        <w:gridCol w:w="3419"/>
      </w:tblGrid>
      <w:tr w:rsidR="004A009C" w14:paraId="3582BA8A" w14:textId="77777777">
        <w:trPr>
          <w:trHeight w:val="902"/>
        </w:trPr>
        <w:tc>
          <w:tcPr>
            <w:tcW w:w="2987" w:type="dxa"/>
            <w:tcBorders>
              <w:top w:val="single" w:sz="4" w:space="0" w:color="000000"/>
              <w:left w:val="single" w:sz="4" w:space="0" w:color="000000"/>
              <w:bottom w:val="single" w:sz="4" w:space="0" w:color="000000"/>
              <w:right w:val="nil"/>
            </w:tcBorders>
            <w:shd w:val="clear" w:color="auto" w:fill="E0E0E0"/>
            <w:vAlign w:val="center"/>
          </w:tcPr>
          <w:p w14:paraId="7ED6BC00" w14:textId="77777777" w:rsidR="004A009C" w:rsidRDefault="00B365B2">
            <w:pPr>
              <w:spacing w:after="125"/>
            </w:pPr>
            <w:r>
              <w:rPr>
                <w:rFonts w:ascii="Times New Roman" w:eastAsia="Times New Roman" w:hAnsi="Times New Roman" w:cs="Times New Roman"/>
                <w:b/>
                <w:sz w:val="20"/>
              </w:rPr>
              <w:t xml:space="preserve">DANE DEWELOPERA </w:t>
            </w:r>
          </w:p>
          <w:p w14:paraId="0EF74610" w14:textId="77777777" w:rsidR="004A009C" w:rsidRDefault="00B365B2">
            <w:r>
              <w:rPr>
                <w:rFonts w:ascii="Times New Roman" w:eastAsia="Times New Roman" w:hAnsi="Times New Roman" w:cs="Times New Roman"/>
                <w:b/>
                <w:sz w:val="20"/>
              </w:rPr>
              <w:t xml:space="preserve"> </w:t>
            </w:r>
          </w:p>
        </w:tc>
        <w:tc>
          <w:tcPr>
            <w:tcW w:w="6661" w:type="dxa"/>
            <w:gridSpan w:val="2"/>
            <w:tcBorders>
              <w:top w:val="single" w:sz="4" w:space="0" w:color="000000"/>
              <w:left w:val="nil"/>
              <w:bottom w:val="single" w:sz="4" w:space="0" w:color="000000"/>
              <w:right w:val="single" w:sz="4" w:space="0" w:color="000000"/>
            </w:tcBorders>
            <w:shd w:val="clear" w:color="auto" w:fill="E0E0E0"/>
          </w:tcPr>
          <w:p w14:paraId="3F47833E" w14:textId="77777777" w:rsidR="004A009C" w:rsidRDefault="004A009C"/>
        </w:tc>
      </w:tr>
      <w:tr w:rsidR="004A009C" w14:paraId="72AE2F4E" w14:textId="77777777">
        <w:trPr>
          <w:trHeight w:val="989"/>
        </w:trPr>
        <w:tc>
          <w:tcPr>
            <w:tcW w:w="2987" w:type="dxa"/>
            <w:tcBorders>
              <w:top w:val="single" w:sz="4" w:space="0" w:color="000000"/>
              <w:left w:val="single" w:sz="4" w:space="0" w:color="000000"/>
              <w:bottom w:val="single" w:sz="4" w:space="0" w:color="000000"/>
              <w:right w:val="single" w:sz="4" w:space="0" w:color="000000"/>
            </w:tcBorders>
            <w:shd w:val="clear" w:color="auto" w:fill="F3F3F3"/>
          </w:tcPr>
          <w:p w14:paraId="733B11E0" w14:textId="77777777" w:rsidR="004A009C" w:rsidRDefault="00B365B2">
            <w:r>
              <w:rPr>
                <w:rFonts w:ascii="Times New Roman" w:eastAsia="Times New Roman" w:hAnsi="Times New Roman" w:cs="Times New Roman"/>
                <w:sz w:val="20"/>
              </w:rPr>
              <w:t xml:space="preserve">Deweloper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1D15860D" w14:textId="0025EC7A" w:rsidR="004A009C" w:rsidRPr="00C66EC0" w:rsidRDefault="00C64FE0" w:rsidP="000B3B50">
            <w:pPr>
              <w:spacing w:line="360" w:lineRule="auto"/>
              <w:rPr>
                <w:sz w:val="20"/>
                <w:szCs w:val="20"/>
              </w:rPr>
            </w:pPr>
            <w:r w:rsidRPr="00C66EC0">
              <w:rPr>
                <w:rFonts w:ascii="Times New Roman" w:eastAsia="Times New Roman" w:hAnsi="Times New Roman" w:cs="Times New Roman"/>
                <w:sz w:val="20"/>
                <w:szCs w:val="20"/>
              </w:rPr>
              <w:t>Śledzik Smolicki V</w:t>
            </w:r>
            <w:r w:rsidR="00CD0BAE" w:rsidRPr="00C66EC0">
              <w:rPr>
                <w:rFonts w:ascii="Times New Roman" w:eastAsia="Times New Roman" w:hAnsi="Times New Roman" w:cs="Times New Roman"/>
                <w:sz w:val="20"/>
                <w:szCs w:val="20"/>
              </w:rPr>
              <w:t>P</w:t>
            </w:r>
            <w:r w:rsidRPr="00C66EC0">
              <w:rPr>
                <w:rFonts w:ascii="Times New Roman" w:eastAsia="Times New Roman" w:hAnsi="Times New Roman" w:cs="Times New Roman"/>
                <w:sz w:val="20"/>
                <w:szCs w:val="20"/>
              </w:rPr>
              <w:t xml:space="preserve"> Invest Development Spółka Komandytowa</w:t>
            </w:r>
            <w:r w:rsidR="00B365B2" w:rsidRPr="00C66EC0">
              <w:rPr>
                <w:rFonts w:ascii="Times New Roman" w:eastAsia="Times New Roman" w:hAnsi="Times New Roman" w:cs="Times New Roman"/>
                <w:sz w:val="20"/>
                <w:szCs w:val="20"/>
              </w:rPr>
              <w:t xml:space="preserve"> </w:t>
            </w:r>
          </w:p>
          <w:p w14:paraId="297B1A56" w14:textId="352462F9" w:rsidR="00C64FE0" w:rsidRDefault="00C64FE0" w:rsidP="000B3B50">
            <w:pPr>
              <w:spacing w:line="360" w:lineRule="auto"/>
              <w:ind w:left="2"/>
              <w:jc w:val="both"/>
            </w:pPr>
            <w:r w:rsidRPr="00C66EC0">
              <w:rPr>
                <w:sz w:val="20"/>
                <w:szCs w:val="20"/>
              </w:rPr>
              <w:t>KRS: 0000261578</w:t>
            </w:r>
          </w:p>
        </w:tc>
      </w:tr>
      <w:tr w:rsidR="004A009C" w14:paraId="3CC321D7" w14:textId="77777777" w:rsidTr="00C66EC0">
        <w:trPr>
          <w:trHeight w:val="578"/>
        </w:trPr>
        <w:tc>
          <w:tcPr>
            <w:tcW w:w="2987" w:type="dxa"/>
            <w:tcBorders>
              <w:top w:val="single" w:sz="4" w:space="0" w:color="000000"/>
              <w:left w:val="single" w:sz="4" w:space="0" w:color="000000"/>
              <w:bottom w:val="single" w:sz="4" w:space="0" w:color="000000"/>
              <w:right w:val="single" w:sz="4" w:space="0" w:color="000000"/>
            </w:tcBorders>
            <w:shd w:val="clear" w:color="auto" w:fill="F3F3F3"/>
          </w:tcPr>
          <w:p w14:paraId="1F59A9EA" w14:textId="77777777" w:rsidR="004A009C" w:rsidRDefault="00B365B2">
            <w:r>
              <w:rPr>
                <w:rFonts w:ascii="Times New Roman" w:eastAsia="Times New Roman" w:hAnsi="Times New Roman" w:cs="Times New Roman"/>
                <w:sz w:val="20"/>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73C91399" w14:textId="6D5EC462" w:rsidR="000B3B50" w:rsidRPr="00C66EC0" w:rsidRDefault="00C64FE0" w:rsidP="000B3B50">
            <w:pPr>
              <w:spacing w:after="125"/>
              <w:ind w:left="2"/>
              <w:rPr>
                <w:sz w:val="20"/>
                <w:szCs w:val="20"/>
              </w:rPr>
            </w:pPr>
            <w:r w:rsidRPr="00C66EC0">
              <w:rPr>
                <w:rFonts w:ascii="Times New Roman" w:eastAsia="Times New Roman" w:hAnsi="Times New Roman" w:cs="Times New Roman"/>
                <w:sz w:val="20"/>
                <w:szCs w:val="20"/>
              </w:rPr>
              <w:t xml:space="preserve">Ul. Trakt Lubelski </w:t>
            </w:r>
            <w:r w:rsidR="000B3B50" w:rsidRPr="00C66EC0">
              <w:rPr>
                <w:rFonts w:ascii="Times New Roman" w:eastAsia="Times New Roman" w:hAnsi="Times New Roman" w:cs="Times New Roman"/>
                <w:sz w:val="20"/>
                <w:szCs w:val="20"/>
              </w:rPr>
              <w:t>144 lok 3</w:t>
            </w:r>
          </w:p>
          <w:p w14:paraId="7C935F7C" w14:textId="4AB4E0D8" w:rsidR="004A009C" w:rsidRPr="000B3B50" w:rsidRDefault="000B3B50">
            <w:pPr>
              <w:ind w:left="2" w:right="49"/>
              <w:jc w:val="both"/>
              <w:rPr>
                <w:sz w:val="24"/>
                <w:szCs w:val="24"/>
              </w:rPr>
            </w:pPr>
            <w:r w:rsidRPr="00C66EC0">
              <w:rPr>
                <w:rFonts w:ascii="Times New Roman" w:eastAsia="Times New Roman" w:hAnsi="Times New Roman" w:cs="Times New Roman"/>
                <w:sz w:val="20"/>
                <w:szCs w:val="20"/>
              </w:rPr>
              <w:t>04-790 Warszawa</w:t>
            </w:r>
            <w:r w:rsidR="00B365B2" w:rsidRPr="000B3B50">
              <w:rPr>
                <w:rFonts w:ascii="Times New Roman" w:eastAsia="Times New Roman" w:hAnsi="Times New Roman" w:cs="Times New Roman"/>
                <w:sz w:val="24"/>
                <w:szCs w:val="24"/>
              </w:rPr>
              <w:t xml:space="preserve"> </w:t>
            </w:r>
          </w:p>
        </w:tc>
      </w:tr>
      <w:tr w:rsidR="004A009C" w14:paraId="3614DA62" w14:textId="77777777">
        <w:trPr>
          <w:trHeight w:val="528"/>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F61072" w14:textId="77777777" w:rsidR="004A009C" w:rsidRDefault="00B365B2">
            <w:r>
              <w:rPr>
                <w:rFonts w:ascii="Times New Roman" w:eastAsia="Times New Roman" w:hAnsi="Times New Roman" w:cs="Times New Roman"/>
                <w:sz w:val="20"/>
              </w:rPr>
              <w:t xml:space="preserve">Numer NIP i REGON </w:t>
            </w:r>
          </w:p>
        </w:tc>
        <w:tc>
          <w:tcPr>
            <w:tcW w:w="3242" w:type="dxa"/>
            <w:tcBorders>
              <w:top w:val="single" w:sz="4" w:space="0" w:color="000000"/>
              <w:left w:val="single" w:sz="4" w:space="0" w:color="000000"/>
              <w:bottom w:val="single" w:sz="4" w:space="0" w:color="000000"/>
              <w:right w:val="single" w:sz="4" w:space="0" w:color="000000"/>
            </w:tcBorders>
            <w:vAlign w:val="center"/>
          </w:tcPr>
          <w:p w14:paraId="0EE1A901" w14:textId="46F4B3F2" w:rsidR="004A009C" w:rsidRPr="00C66EC0" w:rsidRDefault="000B3B50">
            <w:pPr>
              <w:ind w:left="2"/>
              <w:rPr>
                <w:sz w:val="20"/>
                <w:szCs w:val="20"/>
              </w:rPr>
            </w:pPr>
            <w:r w:rsidRPr="00C66EC0">
              <w:rPr>
                <w:rFonts w:ascii="Times New Roman" w:eastAsia="Times New Roman" w:hAnsi="Times New Roman" w:cs="Times New Roman"/>
                <w:sz w:val="20"/>
                <w:szCs w:val="20"/>
              </w:rPr>
              <w:t>118 186 12 54</w:t>
            </w:r>
            <w:r w:rsidR="00B365B2" w:rsidRPr="00C66EC0">
              <w:rPr>
                <w:rFonts w:ascii="Times New Roman" w:eastAsia="Times New Roman" w:hAnsi="Times New Roman" w:cs="Times New Roman"/>
                <w:sz w:val="20"/>
                <w:szCs w:val="20"/>
              </w:rPr>
              <w:t xml:space="preserve"> </w:t>
            </w:r>
          </w:p>
        </w:tc>
        <w:tc>
          <w:tcPr>
            <w:tcW w:w="3419" w:type="dxa"/>
            <w:tcBorders>
              <w:top w:val="single" w:sz="4" w:space="0" w:color="000000"/>
              <w:left w:val="single" w:sz="4" w:space="0" w:color="000000"/>
              <w:bottom w:val="single" w:sz="4" w:space="0" w:color="000000"/>
              <w:right w:val="single" w:sz="4" w:space="0" w:color="000000"/>
            </w:tcBorders>
            <w:vAlign w:val="center"/>
          </w:tcPr>
          <w:p w14:paraId="021D38B3" w14:textId="648F97AF" w:rsidR="004A009C" w:rsidRPr="00C66EC0" w:rsidRDefault="000B3B50">
            <w:pPr>
              <w:ind w:left="1"/>
              <w:rPr>
                <w:sz w:val="20"/>
                <w:szCs w:val="20"/>
              </w:rPr>
            </w:pPr>
            <w:r w:rsidRPr="00C66EC0">
              <w:rPr>
                <w:rFonts w:ascii="Times New Roman" w:eastAsia="Times New Roman" w:hAnsi="Times New Roman" w:cs="Times New Roman"/>
                <w:sz w:val="20"/>
                <w:szCs w:val="20"/>
              </w:rPr>
              <w:t>140662764</w:t>
            </w:r>
            <w:r w:rsidR="00B365B2" w:rsidRPr="00C66EC0">
              <w:rPr>
                <w:rFonts w:ascii="Times New Roman" w:eastAsia="Times New Roman" w:hAnsi="Times New Roman" w:cs="Times New Roman"/>
                <w:sz w:val="20"/>
                <w:szCs w:val="20"/>
              </w:rPr>
              <w:t xml:space="preserve"> </w:t>
            </w:r>
          </w:p>
        </w:tc>
      </w:tr>
      <w:tr w:rsidR="004A009C" w14:paraId="70CA9943" w14:textId="77777777">
        <w:trPr>
          <w:trHeight w:val="528"/>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0AB3A6" w14:textId="77777777" w:rsidR="004A009C" w:rsidRDefault="00B365B2">
            <w:r>
              <w:rPr>
                <w:rFonts w:ascii="Times New Roman" w:eastAsia="Times New Roman" w:hAnsi="Times New Roman" w:cs="Times New Roman"/>
                <w:sz w:val="20"/>
              </w:rPr>
              <w:t xml:space="preserve">Numer telefonu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0A9AD42E" w14:textId="6735F860" w:rsidR="004A009C" w:rsidRPr="00C66EC0" w:rsidRDefault="00B365B2">
            <w:pPr>
              <w:ind w:left="2"/>
              <w:rPr>
                <w:sz w:val="20"/>
                <w:szCs w:val="20"/>
              </w:rPr>
            </w:pPr>
            <w:r w:rsidRPr="000B3B50">
              <w:rPr>
                <w:rFonts w:ascii="Times New Roman" w:eastAsia="Times New Roman" w:hAnsi="Times New Roman" w:cs="Times New Roman"/>
                <w:sz w:val="24"/>
                <w:szCs w:val="24"/>
              </w:rPr>
              <w:t xml:space="preserve"> </w:t>
            </w:r>
            <w:r w:rsidR="000B3B50" w:rsidRPr="00C66EC0">
              <w:rPr>
                <w:rFonts w:ascii="Times New Roman" w:eastAsia="Times New Roman" w:hAnsi="Times New Roman" w:cs="Times New Roman"/>
                <w:sz w:val="20"/>
                <w:szCs w:val="20"/>
              </w:rPr>
              <w:t xml:space="preserve">509 019 692 </w:t>
            </w:r>
          </w:p>
        </w:tc>
      </w:tr>
      <w:tr w:rsidR="004A009C" w14:paraId="4F1A7080" w14:textId="77777777">
        <w:trPr>
          <w:trHeight w:val="528"/>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669428" w14:textId="77777777" w:rsidR="004A009C" w:rsidRDefault="00B365B2">
            <w:r>
              <w:rPr>
                <w:rFonts w:ascii="Times New Roman" w:eastAsia="Times New Roman" w:hAnsi="Times New Roman" w:cs="Times New Roman"/>
                <w:sz w:val="20"/>
              </w:rPr>
              <w:t xml:space="preserve">Adres poczty elektronicznej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254E7CE7" w14:textId="32C0AD3F" w:rsidR="004A009C" w:rsidRPr="00C66EC0" w:rsidRDefault="00B365B2">
            <w:pPr>
              <w:ind w:left="2"/>
              <w:rPr>
                <w:sz w:val="20"/>
                <w:szCs w:val="20"/>
              </w:rPr>
            </w:pPr>
            <w:r w:rsidRPr="000B3B50">
              <w:rPr>
                <w:rFonts w:ascii="Times New Roman" w:eastAsia="Times New Roman" w:hAnsi="Times New Roman" w:cs="Times New Roman"/>
                <w:sz w:val="24"/>
                <w:szCs w:val="24"/>
              </w:rPr>
              <w:t xml:space="preserve"> </w:t>
            </w:r>
            <w:hyperlink r:id="rId8" w:history="1">
              <w:r w:rsidR="000B3B50" w:rsidRPr="00C66EC0">
                <w:rPr>
                  <w:rStyle w:val="Hipercze"/>
                  <w:rFonts w:ascii="Times New Roman" w:eastAsia="Times New Roman" w:hAnsi="Times New Roman" w:cs="Times New Roman"/>
                  <w:sz w:val="20"/>
                  <w:szCs w:val="20"/>
                </w:rPr>
                <w:t>biuro@grupavp.pl</w:t>
              </w:r>
            </w:hyperlink>
          </w:p>
        </w:tc>
      </w:tr>
      <w:tr w:rsidR="004A009C" w14:paraId="79EADA46" w14:textId="77777777">
        <w:trPr>
          <w:trHeight w:val="528"/>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5ABC63" w14:textId="77777777" w:rsidR="004A009C" w:rsidRDefault="00B365B2">
            <w:r>
              <w:rPr>
                <w:rFonts w:ascii="Times New Roman" w:eastAsia="Times New Roman" w:hAnsi="Times New Roman" w:cs="Times New Roman"/>
                <w:sz w:val="20"/>
              </w:rPr>
              <w:t xml:space="preserve">Numer faksu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67F9EC4B" w14:textId="77777777" w:rsidR="004A009C" w:rsidRPr="000B3B50" w:rsidRDefault="00B365B2">
            <w:pPr>
              <w:ind w:left="2"/>
              <w:rPr>
                <w:sz w:val="24"/>
                <w:szCs w:val="24"/>
              </w:rPr>
            </w:pPr>
            <w:r w:rsidRPr="000B3B50">
              <w:rPr>
                <w:rFonts w:ascii="Times New Roman" w:eastAsia="Times New Roman" w:hAnsi="Times New Roman" w:cs="Times New Roman"/>
                <w:sz w:val="24"/>
                <w:szCs w:val="24"/>
              </w:rPr>
              <w:t xml:space="preserve"> </w:t>
            </w:r>
          </w:p>
        </w:tc>
      </w:tr>
      <w:tr w:rsidR="004A009C" w14:paraId="6C725E3C" w14:textId="77777777">
        <w:trPr>
          <w:trHeight w:val="757"/>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C4B840" w14:textId="77777777" w:rsidR="004A009C" w:rsidRDefault="00B365B2">
            <w:r>
              <w:rPr>
                <w:rFonts w:ascii="Times New Roman" w:eastAsia="Times New Roman" w:hAnsi="Times New Roman" w:cs="Times New Roman"/>
                <w:sz w:val="20"/>
              </w:rPr>
              <w:t xml:space="preserve">Adres strony internetowej dewelopera </w:t>
            </w:r>
          </w:p>
        </w:tc>
        <w:tc>
          <w:tcPr>
            <w:tcW w:w="6661" w:type="dxa"/>
            <w:gridSpan w:val="2"/>
            <w:tcBorders>
              <w:top w:val="single" w:sz="4" w:space="0" w:color="000000"/>
              <w:left w:val="single" w:sz="4" w:space="0" w:color="000000"/>
              <w:bottom w:val="single" w:sz="4" w:space="0" w:color="000000"/>
              <w:right w:val="single" w:sz="4" w:space="0" w:color="000000"/>
            </w:tcBorders>
          </w:tcPr>
          <w:p w14:paraId="32DD3CCD" w14:textId="44F8F57F" w:rsidR="004A009C" w:rsidRPr="00C66EC0" w:rsidRDefault="00B365B2">
            <w:pPr>
              <w:ind w:left="2"/>
              <w:rPr>
                <w:sz w:val="20"/>
                <w:szCs w:val="20"/>
              </w:rPr>
            </w:pPr>
            <w:r w:rsidRPr="000B3B50">
              <w:rPr>
                <w:rFonts w:ascii="Times New Roman" w:eastAsia="Times New Roman" w:hAnsi="Times New Roman" w:cs="Times New Roman"/>
                <w:sz w:val="24"/>
                <w:szCs w:val="24"/>
              </w:rPr>
              <w:t xml:space="preserve"> </w:t>
            </w:r>
            <w:hyperlink r:id="rId9" w:history="1">
              <w:r w:rsidR="000B3B50" w:rsidRPr="00C66EC0">
                <w:rPr>
                  <w:rStyle w:val="Hipercze"/>
                  <w:rFonts w:ascii="Times New Roman" w:eastAsia="Times New Roman" w:hAnsi="Times New Roman" w:cs="Times New Roman"/>
                  <w:sz w:val="20"/>
                  <w:szCs w:val="20"/>
                </w:rPr>
                <w:t>www.zielonywawer.pl</w:t>
              </w:r>
            </w:hyperlink>
            <w:r w:rsidR="000B3B50" w:rsidRPr="00C66EC0">
              <w:rPr>
                <w:rFonts w:ascii="Times New Roman" w:eastAsia="Times New Roman" w:hAnsi="Times New Roman" w:cs="Times New Roman"/>
                <w:sz w:val="20"/>
                <w:szCs w:val="20"/>
              </w:rPr>
              <w:t xml:space="preserve"> </w:t>
            </w:r>
          </w:p>
        </w:tc>
      </w:tr>
    </w:tbl>
    <w:p w14:paraId="7A9614DC" w14:textId="77777777" w:rsidR="004A009C" w:rsidRDefault="00B365B2">
      <w:pPr>
        <w:numPr>
          <w:ilvl w:val="0"/>
          <w:numId w:val="1"/>
        </w:numPr>
        <w:spacing w:after="313" w:line="265" w:lineRule="auto"/>
        <w:ind w:hanging="720"/>
      </w:pPr>
      <w:r>
        <w:rPr>
          <w:rFonts w:ascii="Times New Roman" w:eastAsia="Times New Roman" w:hAnsi="Times New Roman" w:cs="Times New Roman"/>
          <w:b/>
          <w:sz w:val="20"/>
        </w:rPr>
        <w:t xml:space="preserve">DOŚWIADCZENIE DEWELOPERA </w:t>
      </w:r>
    </w:p>
    <w:p w14:paraId="6AAB3FDE" w14:textId="77777777" w:rsidR="004A009C" w:rsidRDefault="00B365B2">
      <w:pPr>
        <w:pBdr>
          <w:top w:val="single" w:sz="4" w:space="0" w:color="000000"/>
          <w:left w:val="single" w:sz="4" w:space="0" w:color="000000"/>
          <w:bottom w:val="single" w:sz="4" w:space="0" w:color="000000"/>
          <w:right w:val="single" w:sz="4" w:space="0" w:color="000000"/>
        </w:pBdr>
        <w:shd w:val="clear" w:color="auto" w:fill="E0E0E0"/>
        <w:spacing w:after="327"/>
        <w:ind w:left="216"/>
      </w:pPr>
      <w:r>
        <w:rPr>
          <w:rFonts w:ascii="Times New Roman" w:eastAsia="Times New Roman" w:hAnsi="Times New Roman" w:cs="Times New Roman"/>
          <w:b/>
          <w:sz w:val="20"/>
        </w:rPr>
        <w:t xml:space="preserve">HISTORIA I UDOKUMENTOWANE DOŚWIADCZENIE DEWELOPERA </w:t>
      </w:r>
    </w:p>
    <w:p w14:paraId="46BE22E8" w14:textId="77777777" w:rsidR="004A009C" w:rsidRDefault="00B365B2">
      <w:pPr>
        <w:spacing w:after="0"/>
      </w:pPr>
      <w:r>
        <w:rPr>
          <w:rFonts w:ascii="Times New Roman" w:eastAsia="Times New Roman" w:hAnsi="Times New Roman" w:cs="Times New Roman"/>
          <w:sz w:val="20"/>
        </w:rPr>
        <w:t xml:space="preserve"> </w:t>
      </w:r>
    </w:p>
    <w:tbl>
      <w:tblPr>
        <w:tblStyle w:val="TableGrid"/>
        <w:tblW w:w="10234" w:type="dxa"/>
        <w:tblInd w:w="109" w:type="dxa"/>
        <w:tblCellMar>
          <w:top w:w="191" w:type="dxa"/>
          <w:left w:w="107" w:type="dxa"/>
          <w:right w:w="57" w:type="dxa"/>
        </w:tblCellMar>
        <w:tblLook w:val="04A0" w:firstRow="1" w:lastRow="0" w:firstColumn="1" w:lastColumn="0" w:noHBand="0" w:noVBand="1"/>
      </w:tblPr>
      <w:tblGrid>
        <w:gridCol w:w="2811"/>
        <w:gridCol w:w="7423"/>
      </w:tblGrid>
      <w:tr w:rsidR="004A009C" w14:paraId="540C7C41" w14:textId="77777777" w:rsidTr="00F274EE">
        <w:trPr>
          <w:trHeight w:val="757"/>
        </w:trPr>
        <w:tc>
          <w:tcPr>
            <w:tcW w:w="10234"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074DF068" w14:textId="77777777" w:rsidR="004A009C" w:rsidRDefault="00B365B2">
            <w:pPr>
              <w:jc w:val="both"/>
            </w:pPr>
            <w:r>
              <w:rPr>
                <w:rFonts w:ascii="Times New Roman" w:eastAsia="Times New Roman" w:hAnsi="Times New Roman" w:cs="Times New Roman"/>
                <w:b/>
                <w:sz w:val="20"/>
              </w:rPr>
              <w:t xml:space="preserve">PRZYKŁAD UKOŃCZONEGO PRZEDSIĘWZIĘCIA DEWELOPERSKIEGO (należy wskazać, o ile istnieją, trzy ukończone przedsięwzięcia deweloperskie, w tym ostatnie) </w:t>
            </w:r>
          </w:p>
        </w:tc>
      </w:tr>
      <w:tr w:rsidR="004A009C" w14:paraId="4679B213" w14:textId="77777777" w:rsidTr="00F274EE">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07A579" w14:textId="77777777" w:rsidR="004A009C" w:rsidRDefault="00B365B2">
            <w:r>
              <w:rPr>
                <w:rFonts w:ascii="Times New Roman" w:eastAsia="Times New Roman" w:hAnsi="Times New Roman" w:cs="Times New Roman"/>
                <w:sz w:val="20"/>
              </w:rPr>
              <w:t xml:space="preserve">Adres  </w:t>
            </w:r>
          </w:p>
        </w:tc>
        <w:tc>
          <w:tcPr>
            <w:tcW w:w="7423" w:type="dxa"/>
            <w:tcBorders>
              <w:top w:val="single" w:sz="4" w:space="0" w:color="000000"/>
              <w:left w:val="single" w:sz="4" w:space="0" w:color="000000"/>
              <w:bottom w:val="single" w:sz="4" w:space="0" w:color="000000"/>
              <w:right w:val="single" w:sz="4" w:space="0" w:color="000000"/>
            </w:tcBorders>
            <w:vAlign w:val="center"/>
          </w:tcPr>
          <w:p w14:paraId="06640753" w14:textId="35EE8B6E" w:rsidR="004A009C" w:rsidRPr="00C66EC0" w:rsidRDefault="00B365B2">
            <w:pPr>
              <w:ind w:left="5"/>
              <w:rPr>
                <w:sz w:val="20"/>
                <w:szCs w:val="20"/>
              </w:rPr>
            </w:pPr>
            <w:r w:rsidRPr="00D666BF">
              <w:rPr>
                <w:rFonts w:ascii="Times New Roman" w:eastAsia="Times New Roman" w:hAnsi="Times New Roman" w:cs="Times New Roman"/>
                <w:sz w:val="24"/>
                <w:szCs w:val="24"/>
              </w:rPr>
              <w:t xml:space="preserve"> </w:t>
            </w:r>
            <w:r w:rsidR="00D666BF" w:rsidRPr="00C66EC0">
              <w:rPr>
                <w:rFonts w:ascii="Times New Roman" w:eastAsia="Times New Roman" w:hAnsi="Times New Roman" w:cs="Times New Roman"/>
                <w:sz w:val="20"/>
                <w:szCs w:val="20"/>
              </w:rPr>
              <w:t xml:space="preserve">Mrągowska </w:t>
            </w:r>
            <w:r w:rsidR="00893CBF">
              <w:rPr>
                <w:rFonts w:ascii="Times New Roman" w:eastAsia="Times New Roman" w:hAnsi="Times New Roman" w:cs="Times New Roman"/>
                <w:sz w:val="20"/>
                <w:szCs w:val="20"/>
              </w:rPr>
              <w:t>7</w:t>
            </w:r>
            <w:r w:rsidR="00D666BF" w:rsidRPr="00C66EC0">
              <w:rPr>
                <w:rFonts w:ascii="Times New Roman" w:eastAsia="Times New Roman" w:hAnsi="Times New Roman" w:cs="Times New Roman"/>
                <w:sz w:val="20"/>
                <w:szCs w:val="20"/>
              </w:rPr>
              <w:t>,04-988 Warszawa</w:t>
            </w:r>
          </w:p>
        </w:tc>
      </w:tr>
      <w:tr w:rsidR="004A009C" w14:paraId="5964D612" w14:textId="77777777" w:rsidTr="00F274EE">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B16236" w14:textId="77777777" w:rsidR="004A009C" w:rsidRDefault="00B365B2">
            <w:r>
              <w:rPr>
                <w:rFonts w:ascii="Times New Roman" w:eastAsia="Times New Roman" w:hAnsi="Times New Roman" w:cs="Times New Roman"/>
                <w:sz w:val="20"/>
              </w:rPr>
              <w:lastRenderedPageBreak/>
              <w:t xml:space="preserve">Data rozpoczęcia  </w:t>
            </w:r>
          </w:p>
        </w:tc>
        <w:tc>
          <w:tcPr>
            <w:tcW w:w="7423" w:type="dxa"/>
            <w:tcBorders>
              <w:top w:val="single" w:sz="4" w:space="0" w:color="000000"/>
              <w:left w:val="single" w:sz="4" w:space="0" w:color="000000"/>
              <w:bottom w:val="single" w:sz="4" w:space="0" w:color="000000"/>
              <w:right w:val="single" w:sz="4" w:space="0" w:color="000000"/>
            </w:tcBorders>
            <w:vAlign w:val="center"/>
          </w:tcPr>
          <w:p w14:paraId="41118D41" w14:textId="4031847B" w:rsidR="004A009C" w:rsidRPr="00C66EC0" w:rsidRDefault="00B365B2">
            <w:pPr>
              <w:ind w:left="5"/>
              <w:rPr>
                <w:sz w:val="20"/>
                <w:szCs w:val="20"/>
              </w:rPr>
            </w:pPr>
            <w:r w:rsidRPr="00D666BF">
              <w:rPr>
                <w:rFonts w:ascii="Times New Roman" w:eastAsia="Times New Roman" w:hAnsi="Times New Roman" w:cs="Times New Roman"/>
                <w:sz w:val="24"/>
                <w:szCs w:val="24"/>
              </w:rPr>
              <w:t xml:space="preserve"> </w:t>
            </w:r>
            <w:r w:rsidR="00D666BF" w:rsidRPr="00C66EC0">
              <w:rPr>
                <w:rFonts w:ascii="Times New Roman" w:eastAsia="Times New Roman" w:hAnsi="Times New Roman" w:cs="Times New Roman"/>
                <w:sz w:val="20"/>
                <w:szCs w:val="20"/>
              </w:rPr>
              <w:t>10.06.2016</w:t>
            </w:r>
          </w:p>
        </w:tc>
      </w:tr>
      <w:tr w:rsidR="004A009C" w14:paraId="0EF76D14" w14:textId="77777777" w:rsidTr="00F274EE">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755A1E" w14:textId="77777777" w:rsidR="004A009C" w:rsidRDefault="00B365B2">
            <w:pPr>
              <w:ind w:right="259"/>
              <w:jc w:val="both"/>
            </w:pPr>
            <w:r>
              <w:rPr>
                <w:rFonts w:ascii="Times New Roman" w:eastAsia="Times New Roman" w:hAnsi="Times New Roman" w:cs="Times New Roman"/>
                <w:sz w:val="20"/>
              </w:rPr>
              <w:t xml:space="preserve">Data wydania decyzji o pozwoleniu na użytkowanie </w:t>
            </w:r>
          </w:p>
        </w:tc>
        <w:tc>
          <w:tcPr>
            <w:tcW w:w="7423" w:type="dxa"/>
            <w:tcBorders>
              <w:top w:val="single" w:sz="4" w:space="0" w:color="000000"/>
              <w:left w:val="single" w:sz="4" w:space="0" w:color="000000"/>
              <w:bottom w:val="single" w:sz="4" w:space="0" w:color="000000"/>
              <w:right w:val="single" w:sz="4" w:space="0" w:color="000000"/>
            </w:tcBorders>
          </w:tcPr>
          <w:p w14:paraId="0D0EE1C1" w14:textId="44D1D454" w:rsidR="004A009C" w:rsidRPr="00C66EC0" w:rsidRDefault="00B365B2">
            <w:pPr>
              <w:ind w:left="5"/>
              <w:rPr>
                <w:sz w:val="20"/>
                <w:szCs w:val="20"/>
              </w:rPr>
            </w:pPr>
            <w:r w:rsidRPr="00D666BF">
              <w:rPr>
                <w:rFonts w:ascii="Times New Roman" w:eastAsia="Times New Roman" w:hAnsi="Times New Roman" w:cs="Times New Roman"/>
                <w:sz w:val="24"/>
                <w:szCs w:val="24"/>
              </w:rPr>
              <w:t xml:space="preserve"> </w:t>
            </w:r>
            <w:r w:rsidR="00893CBF">
              <w:rPr>
                <w:rFonts w:ascii="Times New Roman" w:eastAsia="Times New Roman" w:hAnsi="Times New Roman" w:cs="Times New Roman"/>
                <w:sz w:val="20"/>
                <w:szCs w:val="20"/>
              </w:rPr>
              <w:t>01.08.2017</w:t>
            </w:r>
          </w:p>
        </w:tc>
      </w:tr>
      <w:tr w:rsidR="004A009C" w14:paraId="1B61EF29" w14:textId="77777777" w:rsidTr="00F274EE">
        <w:trPr>
          <w:trHeight w:val="902"/>
        </w:trPr>
        <w:tc>
          <w:tcPr>
            <w:tcW w:w="10234"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45204213" w14:textId="77777777" w:rsidR="004A009C" w:rsidRDefault="00B365B2">
            <w:pPr>
              <w:spacing w:after="125"/>
            </w:pPr>
            <w:r>
              <w:rPr>
                <w:rFonts w:ascii="Times New Roman" w:eastAsia="Times New Roman" w:hAnsi="Times New Roman" w:cs="Times New Roman"/>
                <w:b/>
                <w:sz w:val="20"/>
              </w:rPr>
              <w:t xml:space="preserve">PRZYKŁAD INNEGO UKOŃCZONEGO PRZEDSIĘWZIĘCIA DEWELOPERSKIEGO </w:t>
            </w:r>
          </w:p>
          <w:p w14:paraId="0193BA62" w14:textId="77777777" w:rsidR="004A009C" w:rsidRDefault="00B365B2">
            <w:r>
              <w:rPr>
                <w:rFonts w:ascii="Times New Roman" w:eastAsia="Times New Roman" w:hAnsi="Times New Roman" w:cs="Times New Roman"/>
                <w:b/>
                <w:sz w:val="20"/>
              </w:rPr>
              <w:t xml:space="preserve"> </w:t>
            </w:r>
          </w:p>
        </w:tc>
      </w:tr>
      <w:tr w:rsidR="004A009C" w14:paraId="5337211F" w14:textId="77777777" w:rsidTr="00F274EE">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20BC28" w14:textId="77777777" w:rsidR="004A009C" w:rsidRDefault="00B365B2">
            <w:r>
              <w:rPr>
                <w:rFonts w:ascii="Times New Roman" w:eastAsia="Times New Roman" w:hAnsi="Times New Roman" w:cs="Times New Roman"/>
                <w:sz w:val="20"/>
              </w:rPr>
              <w:t xml:space="preserve">Adres  </w:t>
            </w:r>
          </w:p>
        </w:tc>
        <w:tc>
          <w:tcPr>
            <w:tcW w:w="7423" w:type="dxa"/>
            <w:tcBorders>
              <w:top w:val="single" w:sz="4" w:space="0" w:color="000000"/>
              <w:left w:val="single" w:sz="4" w:space="0" w:color="000000"/>
              <w:bottom w:val="single" w:sz="4" w:space="0" w:color="000000"/>
              <w:right w:val="single" w:sz="4" w:space="0" w:color="000000"/>
            </w:tcBorders>
            <w:vAlign w:val="center"/>
          </w:tcPr>
          <w:p w14:paraId="5DDF1BB7" w14:textId="04A16A6B" w:rsidR="004A009C" w:rsidRPr="00C66EC0" w:rsidRDefault="00B365B2">
            <w:pPr>
              <w:ind w:left="5"/>
              <w:rPr>
                <w:sz w:val="20"/>
                <w:szCs w:val="20"/>
              </w:rPr>
            </w:pPr>
            <w:r w:rsidRPr="00C66EC0">
              <w:rPr>
                <w:rFonts w:ascii="Times New Roman" w:eastAsia="Times New Roman" w:hAnsi="Times New Roman" w:cs="Times New Roman"/>
                <w:sz w:val="20"/>
                <w:szCs w:val="20"/>
              </w:rPr>
              <w:t xml:space="preserve"> </w:t>
            </w:r>
            <w:r w:rsidR="00D666BF" w:rsidRPr="00C66EC0">
              <w:rPr>
                <w:rFonts w:ascii="Times New Roman" w:eastAsia="Times New Roman" w:hAnsi="Times New Roman" w:cs="Times New Roman"/>
                <w:sz w:val="20"/>
                <w:szCs w:val="20"/>
              </w:rPr>
              <w:t>Uszatki 1, 04-988 Warszawa</w:t>
            </w:r>
          </w:p>
        </w:tc>
      </w:tr>
      <w:tr w:rsidR="004A009C" w14:paraId="68154315" w14:textId="77777777" w:rsidTr="00F274EE">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FE7822" w14:textId="77777777" w:rsidR="004A009C" w:rsidRDefault="00B365B2">
            <w:r>
              <w:rPr>
                <w:rFonts w:ascii="Times New Roman" w:eastAsia="Times New Roman" w:hAnsi="Times New Roman" w:cs="Times New Roman"/>
                <w:sz w:val="20"/>
              </w:rPr>
              <w:t xml:space="preserve">Data rozpoczęcia  </w:t>
            </w:r>
          </w:p>
        </w:tc>
        <w:tc>
          <w:tcPr>
            <w:tcW w:w="7423" w:type="dxa"/>
            <w:tcBorders>
              <w:top w:val="single" w:sz="4" w:space="0" w:color="000000"/>
              <w:left w:val="single" w:sz="4" w:space="0" w:color="000000"/>
              <w:bottom w:val="single" w:sz="4" w:space="0" w:color="000000"/>
              <w:right w:val="single" w:sz="4" w:space="0" w:color="000000"/>
            </w:tcBorders>
            <w:vAlign w:val="center"/>
          </w:tcPr>
          <w:p w14:paraId="315369F9" w14:textId="337E375F" w:rsidR="004A009C" w:rsidRPr="00C66EC0" w:rsidRDefault="00B365B2">
            <w:pPr>
              <w:ind w:left="5"/>
              <w:rPr>
                <w:sz w:val="20"/>
                <w:szCs w:val="20"/>
              </w:rPr>
            </w:pPr>
            <w:r w:rsidRPr="00C66EC0">
              <w:rPr>
                <w:rFonts w:ascii="Times New Roman" w:eastAsia="Times New Roman" w:hAnsi="Times New Roman" w:cs="Times New Roman"/>
                <w:sz w:val="20"/>
                <w:szCs w:val="20"/>
              </w:rPr>
              <w:t xml:space="preserve"> </w:t>
            </w:r>
            <w:r w:rsidR="00D666BF" w:rsidRPr="00C66EC0">
              <w:rPr>
                <w:rFonts w:ascii="Times New Roman" w:eastAsia="Times New Roman" w:hAnsi="Times New Roman" w:cs="Times New Roman"/>
                <w:sz w:val="20"/>
                <w:szCs w:val="20"/>
              </w:rPr>
              <w:t>09.03.2018</w:t>
            </w:r>
          </w:p>
        </w:tc>
      </w:tr>
      <w:tr w:rsidR="004A009C" w14:paraId="56981708" w14:textId="77777777" w:rsidTr="00F274EE">
        <w:trPr>
          <w:trHeight w:val="75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BB5D5D" w14:textId="77777777" w:rsidR="004A009C" w:rsidRDefault="00B365B2">
            <w:pPr>
              <w:ind w:right="55"/>
              <w:jc w:val="both"/>
            </w:pPr>
            <w:r>
              <w:rPr>
                <w:rFonts w:ascii="Times New Roman" w:eastAsia="Times New Roman" w:hAnsi="Times New Roman" w:cs="Times New Roman"/>
                <w:sz w:val="20"/>
              </w:rPr>
              <w:t xml:space="preserve">Data wydania decyzji  o pozwoleniu na użytkowanie </w:t>
            </w:r>
          </w:p>
        </w:tc>
        <w:tc>
          <w:tcPr>
            <w:tcW w:w="7423" w:type="dxa"/>
            <w:tcBorders>
              <w:top w:val="single" w:sz="4" w:space="0" w:color="000000"/>
              <w:left w:val="single" w:sz="4" w:space="0" w:color="000000"/>
              <w:bottom w:val="single" w:sz="4" w:space="0" w:color="000000"/>
              <w:right w:val="single" w:sz="4" w:space="0" w:color="000000"/>
            </w:tcBorders>
          </w:tcPr>
          <w:p w14:paraId="38F97F5E" w14:textId="7C65B30E" w:rsidR="004A009C" w:rsidRPr="00C66EC0" w:rsidRDefault="00B365B2">
            <w:pPr>
              <w:ind w:left="5"/>
              <w:rPr>
                <w:sz w:val="20"/>
                <w:szCs w:val="20"/>
              </w:rPr>
            </w:pPr>
            <w:r w:rsidRPr="00C66EC0">
              <w:rPr>
                <w:rFonts w:ascii="Times New Roman" w:eastAsia="Times New Roman" w:hAnsi="Times New Roman" w:cs="Times New Roman"/>
                <w:sz w:val="20"/>
                <w:szCs w:val="20"/>
              </w:rPr>
              <w:t xml:space="preserve"> </w:t>
            </w:r>
            <w:r w:rsidR="006002A9">
              <w:rPr>
                <w:rFonts w:ascii="Times New Roman" w:eastAsia="Times New Roman" w:hAnsi="Times New Roman" w:cs="Times New Roman"/>
                <w:sz w:val="20"/>
                <w:szCs w:val="20"/>
              </w:rPr>
              <w:t>03.01.2020</w:t>
            </w:r>
          </w:p>
        </w:tc>
      </w:tr>
      <w:tr w:rsidR="004A009C" w14:paraId="0A9B2D7F" w14:textId="77777777" w:rsidTr="00F274EE">
        <w:trPr>
          <w:trHeight w:val="894"/>
        </w:trPr>
        <w:tc>
          <w:tcPr>
            <w:tcW w:w="10234"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23B87E9A" w14:textId="77777777" w:rsidR="004A009C" w:rsidRDefault="00B365B2">
            <w:pPr>
              <w:spacing w:after="262"/>
            </w:pPr>
            <w:r>
              <w:rPr>
                <w:rFonts w:ascii="Times New Roman" w:eastAsia="Times New Roman" w:hAnsi="Times New Roman" w:cs="Times New Roman"/>
                <w:b/>
                <w:sz w:val="20"/>
              </w:rPr>
              <w:t xml:space="preserve">PRZYKŁAD OSTATNIEGO UKOŃCZONEGO PRZEDSIĘWZIĘCIA DEWELOPERSKIEGO </w:t>
            </w:r>
          </w:p>
          <w:p w14:paraId="77DD949C" w14:textId="77777777" w:rsidR="004A009C" w:rsidRDefault="00B365B2">
            <w:r>
              <w:rPr>
                <w:rFonts w:ascii="Times New Roman" w:eastAsia="Times New Roman" w:hAnsi="Times New Roman" w:cs="Times New Roman"/>
                <w:b/>
                <w:sz w:val="20"/>
              </w:rPr>
              <w:t xml:space="preserve"> </w:t>
            </w:r>
          </w:p>
        </w:tc>
      </w:tr>
      <w:tr w:rsidR="004A009C" w14:paraId="7C78CF39" w14:textId="77777777" w:rsidTr="00F274EE">
        <w:trPr>
          <w:trHeight w:val="529"/>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2D0852" w14:textId="77777777" w:rsidR="004A009C" w:rsidRDefault="00B365B2">
            <w:r>
              <w:rPr>
                <w:rFonts w:ascii="Times New Roman" w:eastAsia="Times New Roman" w:hAnsi="Times New Roman" w:cs="Times New Roman"/>
                <w:sz w:val="20"/>
              </w:rPr>
              <w:t xml:space="preserve">Adres  </w:t>
            </w:r>
          </w:p>
        </w:tc>
        <w:tc>
          <w:tcPr>
            <w:tcW w:w="7423" w:type="dxa"/>
            <w:tcBorders>
              <w:top w:val="single" w:sz="4" w:space="0" w:color="000000"/>
              <w:left w:val="single" w:sz="4" w:space="0" w:color="000000"/>
              <w:bottom w:val="single" w:sz="4" w:space="0" w:color="000000"/>
              <w:right w:val="single" w:sz="4" w:space="0" w:color="000000"/>
            </w:tcBorders>
            <w:vAlign w:val="center"/>
          </w:tcPr>
          <w:p w14:paraId="20A531EB" w14:textId="6EA90D17" w:rsidR="004A009C" w:rsidRPr="00C66EC0" w:rsidRDefault="00B365B2">
            <w:pPr>
              <w:ind w:left="5"/>
              <w:rPr>
                <w:sz w:val="20"/>
                <w:szCs w:val="20"/>
              </w:rPr>
            </w:pPr>
            <w:r w:rsidRPr="00C66EC0">
              <w:rPr>
                <w:rFonts w:ascii="Times New Roman" w:eastAsia="Times New Roman" w:hAnsi="Times New Roman" w:cs="Times New Roman"/>
                <w:sz w:val="20"/>
                <w:szCs w:val="20"/>
              </w:rPr>
              <w:t xml:space="preserve"> </w:t>
            </w:r>
            <w:r w:rsidR="00D666BF" w:rsidRPr="00C66EC0">
              <w:rPr>
                <w:rFonts w:ascii="Times New Roman" w:eastAsia="Times New Roman" w:hAnsi="Times New Roman" w:cs="Times New Roman"/>
                <w:sz w:val="20"/>
                <w:szCs w:val="20"/>
              </w:rPr>
              <w:t>Trakt Lubelski 144, 04-790 Warszawa</w:t>
            </w:r>
          </w:p>
        </w:tc>
      </w:tr>
      <w:tr w:rsidR="004A009C" w14:paraId="4D0CD9D8" w14:textId="77777777" w:rsidTr="00F274EE">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B2A928" w14:textId="77777777" w:rsidR="004A009C" w:rsidRDefault="00B365B2">
            <w:r>
              <w:rPr>
                <w:rFonts w:ascii="Times New Roman" w:eastAsia="Times New Roman" w:hAnsi="Times New Roman" w:cs="Times New Roman"/>
                <w:sz w:val="20"/>
              </w:rPr>
              <w:t xml:space="preserve">Data rozpoczęcia  </w:t>
            </w:r>
          </w:p>
        </w:tc>
        <w:tc>
          <w:tcPr>
            <w:tcW w:w="7423" w:type="dxa"/>
            <w:tcBorders>
              <w:top w:val="single" w:sz="4" w:space="0" w:color="000000"/>
              <w:left w:val="single" w:sz="4" w:space="0" w:color="000000"/>
              <w:bottom w:val="single" w:sz="4" w:space="0" w:color="000000"/>
              <w:right w:val="single" w:sz="4" w:space="0" w:color="000000"/>
            </w:tcBorders>
            <w:vAlign w:val="center"/>
          </w:tcPr>
          <w:p w14:paraId="7E102949" w14:textId="415E6CC0" w:rsidR="004A009C" w:rsidRPr="00C66EC0" w:rsidRDefault="00B365B2">
            <w:pPr>
              <w:ind w:left="5"/>
              <w:rPr>
                <w:sz w:val="20"/>
                <w:szCs w:val="20"/>
              </w:rPr>
            </w:pPr>
            <w:r w:rsidRPr="00C66EC0">
              <w:rPr>
                <w:rFonts w:ascii="Times New Roman" w:eastAsia="Times New Roman" w:hAnsi="Times New Roman" w:cs="Times New Roman"/>
                <w:sz w:val="20"/>
                <w:szCs w:val="20"/>
              </w:rPr>
              <w:t xml:space="preserve"> </w:t>
            </w:r>
            <w:r w:rsidR="00D666BF" w:rsidRPr="00C66EC0">
              <w:rPr>
                <w:rFonts w:ascii="Times New Roman" w:eastAsia="Times New Roman" w:hAnsi="Times New Roman" w:cs="Times New Roman"/>
                <w:sz w:val="20"/>
                <w:szCs w:val="20"/>
              </w:rPr>
              <w:t>28.11.2018</w:t>
            </w:r>
          </w:p>
        </w:tc>
      </w:tr>
      <w:tr w:rsidR="004A009C" w14:paraId="43D2FF26" w14:textId="77777777" w:rsidTr="00F274EE">
        <w:trPr>
          <w:trHeight w:val="756"/>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0E04EC" w14:textId="77777777" w:rsidR="004A009C" w:rsidRDefault="00B365B2">
            <w:pPr>
              <w:ind w:right="55"/>
              <w:jc w:val="both"/>
            </w:pPr>
            <w:r>
              <w:rPr>
                <w:rFonts w:ascii="Times New Roman" w:eastAsia="Times New Roman" w:hAnsi="Times New Roman" w:cs="Times New Roman"/>
                <w:sz w:val="20"/>
              </w:rPr>
              <w:t xml:space="preserve">Data wydania decyzji o pozwoleniu na użytkowanie </w:t>
            </w:r>
          </w:p>
        </w:tc>
        <w:tc>
          <w:tcPr>
            <w:tcW w:w="7423" w:type="dxa"/>
            <w:tcBorders>
              <w:top w:val="single" w:sz="4" w:space="0" w:color="000000"/>
              <w:left w:val="single" w:sz="4" w:space="0" w:color="000000"/>
              <w:bottom w:val="single" w:sz="4" w:space="0" w:color="000000"/>
              <w:right w:val="single" w:sz="4" w:space="0" w:color="000000"/>
            </w:tcBorders>
          </w:tcPr>
          <w:p w14:paraId="11DF6FDC" w14:textId="218F23B8" w:rsidR="004A009C" w:rsidRPr="00C66EC0" w:rsidRDefault="00B365B2">
            <w:pPr>
              <w:ind w:left="5"/>
              <w:rPr>
                <w:sz w:val="20"/>
                <w:szCs w:val="20"/>
              </w:rPr>
            </w:pPr>
            <w:r w:rsidRPr="00C66EC0">
              <w:rPr>
                <w:rFonts w:ascii="Times New Roman" w:eastAsia="Times New Roman" w:hAnsi="Times New Roman" w:cs="Times New Roman"/>
                <w:sz w:val="20"/>
                <w:szCs w:val="20"/>
              </w:rPr>
              <w:t xml:space="preserve"> </w:t>
            </w:r>
            <w:r w:rsidR="006002A9">
              <w:rPr>
                <w:rFonts w:ascii="Times New Roman" w:eastAsia="Times New Roman" w:hAnsi="Times New Roman" w:cs="Times New Roman"/>
                <w:sz w:val="20"/>
                <w:szCs w:val="20"/>
              </w:rPr>
              <w:t>21.07.2021</w:t>
            </w:r>
          </w:p>
        </w:tc>
      </w:tr>
    </w:tbl>
    <w:p w14:paraId="10932AF0" w14:textId="77777777" w:rsidR="004A009C" w:rsidRDefault="00B365B2">
      <w:pPr>
        <w:spacing w:after="0"/>
      </w:pPr>
      <w:r>
        <w:rPr>
          <w:rFonts w:ascii="Times New Roman" w:eastAsia="Times New Roman" w:hAnsi="Times New Roman" w:cs="Times New Roman"/>
          <w:b/>
          <w:sz w:val="16"/>
        </w:rPr>
        <w:t xml:space="preserve"> </w:t>
      </w:r>
    </w:p>
    <w:tbl>
      <w:tblPr>
        <w:tblStyle w:val="TableGrid"/>
        <w:tblW w:w="9649" w:type="dxa"/>
        <w:tblInd w:w="109" w:type="dxa"/>
        <w:tblCellMar>
          <w:top w:w="189" w:type="dxa"/>
          <w:left w:w="107" w:type="dxa"/>
          <w:right w:w="115" w:type="dxa"/>
        </w:tblCellMar>
        <w:tblLook w:val="04A0" w:firstRow="1" w:lastRow="0" w:firstColumn="1" w:lastColumn="0" w:noHBand="0" w:noVBand="1"/>
      </w:tblPr>
      <w:tblGrid>
        <w:gridCol w:w="2807"/>
        <w:gridCol w:w="6842"/>
      </w:tblGrid>
      <w:tr w:rsidR="004A009C" w14:paraId="391855EB" w14:textId="77777777">
        <w:trPr>
          <w:trHeight w:val="1217"/>
        </w:trPr>
        <w:tc>
          <w:tcPr>
            <w:tcW w:w="28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E2F7F9" w14:textId="77777777" w:rsidR="004A009C" w:rsidRDefault="00B365B2">
            <w:pPr>
              <w:ind w:right="200"/>
            </w:pPr>
            <w:r>
              <w:rPr>
                <w:rFonts w:ascii="Times New Roman" w:eastAsia="Times New Roman" w:hAnsi="Times New Roman" w:cs="Times New Roman"/>
                <w:sz w:val="20"/>
              </w:rPr>
              <w:t>Czy przeciwko deweloperowi prowadzono lub prowadzi się postępowania egzekucyjne na kwotę powyżej 100 000 zł</w:t>
            </w:r>
            <w:r>
              <w:rPr>
                <w:rFonts w:ascii="Times New Roman" w:eastAsia="Times New Roman" w:hAnsi="Times New Roman" w:cs="Times New Roman"/>
                <w:b/>
                <w:sz w:val="20"/>
              </w:rPr>
              <w:t xml:space="preserve"> </w:t>
            </w:r>
          </w:p>
        </w:tc>
        <w:tc>
          <w:tcPr>
            <w:tcW w:w="6842" w:type="dxa"/>
            <w:tcBorders>
              <w:top w:val="single" w:sz="4" w:space="0" w:color="000000"/>
              <w:left w:val="single" w:sz="4" w:space="0" w:color="000000"/>
              <w:bottom w:val="single" w:sz="4" w:space="0" w:color="000000"/>
              <w:right w:val="single" w:sz="4" w:space="0" w:color="000000"/>
            </w:tcBorders>
          </w:tcPr>
          <w:p w14:paraId="365013E7" w14:textId="62E29AF4" w:rsidR="004A009C" w:rsidRPr="00C66EC0" w:rsidRDefault="00B365B2">
            <w:pPr>
              <w:ind w:left="2"/>
              <w:rPr>
                <w:bCs/>
                <w:sz w:val="20"/>
                <w:szCs w:val="20"/>
              </w:rPr>
            </w:pPr>
            <w:r>
              <w:rPr>
                <w:rFonts w:ascii="Times New Roman" w:eastAsia="Times New Roman" w:hAnsi="Times New Roman" w:cs="Times New Roman"/>
                <w:b/>
                <w:sz w:val="20"/>
              </w:rPr>
              <w:t xml:space="preserve"> </w:t>
            </w:r>
            <w:r w:rsidR="00D666BF" w:rsidRPr="00C66EC0">
              <w:rPr>
                <w:rFonts w:ascii="Times New Roman" w:eastAsia="Times New Roman" w:hAnsi="Times New Roman" w:cs="Times New Roman"/>
                <w:bCs/>
                <w:sz w:val="20"/>
                <w:szCs w:val="20"/>
              </w:rPr>
              <w:t>Nie</w:t>
            </w:r>
          </w:p>
        </w:tc>
      </w:tr>
    </w:tbl>
    <w:p w14:paraId="75A4D968" w14:textId="77777777" w:rsidR="004A009C" w:rsidRDefault="00B365B2">
      <w:pPr>
        <w:spacing w:after="126"/>
      </w:pPr>
      <w:r>
        <w:rPr>
          <w:rFonts w:ascii="Times New Roman" w:eastAsia="Times New Roman" w:hAnsi="Times New Roman" w:cs="Times New Roman"/>
          <w:b/>
          <w:sz w:val="16"/>
        </w:rPr>
        <w:t xml:space="preserve"> </w:t>
      </w:r>
    </w:p>
    <w:p w14:paraId="50355E18" w14:textId="77777777" w:rsidR="004A009C" w:rsidRDefault="00B365B2">
      <w:pPr>
        <w:spacing w:after="110"/>
      </w:pPr>
      <w:r>
        <w:rPr>
          <w:rFonts w:ascii="Times New Roman" w:eastAsia="Times New Roman" w:hAnsi="Times New Roman" w:cs="Times New Roman"/>
          <w:b/>
          <w:sz w:val="16"/>
        </w:rPr>
        <w:t xml:space="preserve"> </w:t>
      </w:r>
    </w:p>
    <w:p w14:paraId="2A67AD8A" w14:textId="77777777" w:rsidR="004A009C" w:rsidRDefault="00B365B2">
      <w:pPr>
        <w:numPr>
          <w:ilvl w:val="0"/>
          <w:numId w:val="1"/>
        </w:numPr>
        <w:spacing w:after="0" w:line="265" w:lineRule="auto"/>
        <w:ind w:hanging="720"/>
      </w:pPr>
      <w:r>
        <w:rPr>
          <w:rFonts w:ascii="Times New Roman" w:eastAsia="Times New Roman" w:hAnsi="Times New Roman" w:cs="Times New Roman"/>
          <w:b/>
          <w:sz w:val="20"/>
        </w:rPr>
        <w:t xml:space="preserve">INFORMACJE DOTYCZĄCE NIERUCHOMOŚCI I PRZEDSIĘWZIĘCIA DEWELOPERSKIEGO </w:t>
      </w:r>
    </w:p>
    <w:tbl>
      <w:tblPr>
        <w:tblStyle w:val="TableGrid"/>
        <w:tblW w:w="9648" w:type="dxa"/>
        <w:tblInd w:w="109" w:type="dxa"/>
        <w:tblCellMar>
          <w:top w:w="182" w:type="dxa"/>
          <w:left w:w="107" w:type="dxa"/>
          <w:right w:w="57" w:type="dxa"/>
        </w:tblCellMar>
        <w:tblLook w:val="04A0" w:firstRow="1" w:lastRow="0" w:firstColumn="1" w:lastColumn="0" w:noHBand="0" w:noVBand="1"/>
      </w:tblPr>
      <w:tblGrid>
        <w:gridCol w:w="2809"/>
        <w:gridCol w:w="3419"/>
        <w:gridCol w:w="3420"/>
      </w:tblGrid>
      <w:tr w:rsidR="004A009C" w14:paraId="26B7A72B" w14:textId="77777777">
        <w:trPr>
          <w:trHeight w:val="900"/>
        </w:trPr>
        <w:tc>
          <w:tcPr>
            <w:tcW w:w="9648"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66795368" w14:textId="77777777" w:rsidR="004A009C" w:rsidRDefault="00B365B2">
            <w:pPr>
              <w:spacing w:after="123"/>
            </w:pPr>
            <w:r>
              <w:rPr>
                <w:rFonts w:ascii="Times New Roman" w:eastAsia="Times New Roman" w:hAnsi="Times New Roman" w:cs="Times New Roman"/>
                <w:b/>
                <w:sz w:val="20"/>
              </w:rPr>
              <w:t xml:space="preserve">INFORMACJE DOTYCZĄCE GRUNTU I ZAGOSPODAROWANIA PRZESTRZENNEGO TERENU </w:t>
            </w:r>
          </w:p>
          <w:p w14:paraId="5781B989" w14:textId="77777777" w:rsidR="004A009C" w:rsidRDefault="00B365B2">
            <w:r>
              <w:rPr>
                <w:rFonts w:ascii="Times New Roman" w:eastAsia="Times New Roman" w:hAnsi="Times New Roman" w:cs="Times New Roman"/>
                <w:b/>
                <w:sz w:val="20"/>
              </w:rPr>
              <w:t xml:space="preserve"> </w:t>
            </w:r>
          </w:p>
        </w:tc>
      </w:tr>
      <w:tr w:rsidR="004A009C" w14:paraId="50E2499C" w14:textId="77777777">
        <w:trPr>
          <w:trHeight w:val="989"/>
        </w:trPr>
        <w:tc>
          <w:tcPr>
            <w:tcW w:w="280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E94F3C3" w14:textId="77777777" w:rsidR="004A009C" w:rsidRDefault="00B365B2">
            <w:r>
              <w:rPr>
                <w:rFonts w:ascii="Times New Roman" w:eastAsia="Times New Roman" w:hAnsi="Times New Roman" w:cs="Times New Roman"/>
                <w:sz w:val="20"/>
              </w:rPr>
              <w:lastRenderedPageBreak/>
              <w:t>Adres, numer działki ewidencyjnej i numer obrębu ewidencyjnego</w:t>
            </w:r>
            <w:r>
              <w:rPr>
                <w:rFonts w:ascii="Times New Roman" w:eastAsia="Times New Roman" w:hAnsi="Times New Roman" w:cs="Times New Roman"/>
                <w:sz w:val="20"/>
                <w:vertAlign w:val="superscript"/>
              </w:rPr>
              <w:footnoteReference w:id="1"/>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p>
        </w:tc>
        <w:tc>
          <w:tcPr>
            <w:tcW w:w="6839" w:type="dxa"/>
            <w:gridSpan w:val="2"/>
            <w:tcBorders>
              <w:top w:val="single" w:sz="4" w:space="0" w:color="000000"/>
              <w:left w:val="single" w:sz="4" w:space="0" w:color="000000"/>
              <w:bottom w:val="single" w:sz="4" w:space="0" w:color="000000"/>
              <w:right w:val="single" w:sz="4" w:space="0" w:color="000000"/>
            </w:tcBorders>
          </w:tcPr>
          <w:p w14:paraId="63586331" w14:textId="62964202" w:rsidR="004A009C" w:rsidRPr="00C66EC0" w:rsidRDefault="0006068B">
            <w:pPr>
              <w:ind w:left="2"/>
              <w:rPr>
                <w:rFonts w:ascii="Times New Roman" w:hAnsi="Times New Roman" w:cs="Times New Roman"/>
                <w:sz w:val="20"/>
                <w:szCs w:val="20"/>
              </w:rPr>
            </w:pPr>
            <w:r>
              <w:rPr>
                <w:rFonts w:ascii="Times New Roman" w:hAnsi="Times New Roman" w:cs="Times New Roman"/>
                <w:sz w:val="20"/>
                <w:szCs w:val="20"/>
              </w:rPr>
              <w:t>Warszawa</w:t>
            </w:r>
            <w:r w:rsidR="00D666BF" w:rsidRPr="00C66EC0">
              <w:rPr>
                <w:rFonts w:ascii="Times New Roman" w:hAnsi="Times New Roman" w:cs="Times New Roman"/>
                <w:sz w:val="20"/>
                <w:szCs w:val="20"/>
              </w:rPr>
              <w:t xml:space="preserve">, ulica </w:t>
            </w:r>
            <w:r>
              <w:rPr>
                <w:rFonts w:ascii="Times New Roman" w:hAnsi="Times New Roman" w:cs="Times New Roman"/>
                <w:sz w:val="20"/>
                <w:szCs w:val="20"/>
              </w:rPr>
              <w:t>Uszatki (poprzednio Mrągowska)</w:t>
            </w:r>
            <w:r w:rsidR="00D666BF" w:rsidRPr="00C66EC0">
              <w:rPr>
                <w:rFonts w:ascii="Times New Roman" w:hAnsi="Times New Roman" w:cs="Times New Roman"/>
                <w:sz w:val="20"/>
                <w:szCs w:val="20"/>
              </w:rPr>
              <w:t xml:space="preserve">, dz. </w:t>
            </w:r>
            <w:r w:rsidR="000A7843" w:rsidRPr="00C66EC0">
              <w:rPr>
                <w:rFonts w:ascii="Times New Roman" w:hAnsi="Times New Roman" w:cs="Times New Roman"/>
                <w:sz w:val="20"/>
                <w:szCs w:val="20"/>
              </w:rPr>
              <w:t>11/</w:t>
            </w:r>
            <w:r w:rsidR="00333994">
              <w:rPr>
                <w:rFonts w:ascii="Times New Roman" w:hAnsi="Times New Roman" w:cs="Times New Roman"/>
                <w:sz w:val="20"/>
                <w:szCs w:val="20"/>
              </w:rPr>
              <w:t>4</w:t>
            </w:r>
            <w:r w:rsidR="00D666BF" w:rsidRPr="00C66EC0">
              <w:rPr>
                <w:rFonts w:ascii="Times New Roman" w:hAnsi="Times New Roman" w:cs="Times New Roman"/>
                <w:sz w:val="20"/>
                <w:szCs w:val="20"/>
              </w:rPr>
              <w:t xml:space="preserve">, obręb </w:t>
            </w:r>
            <w:r w:rsidR="000A7843" w:rsidRPr="00C66EC0">
              <w:rPr>
                <w:rFonts w:ascii="Times New Roman" w:hAnsi="Times New Roman" w:cs="Times New Roman"/>
                <w:sz w:val="20"/>
                <w:szCs w:val="20"/>
              </w:rPr>
              <w:t>3-14-16</w:t>
            </w:r>
          </w:p>
        </w:tc>
      </w:tr>
      <w:tr w:rsidR="004A009C" w14:paraId="74AE0005" w14:textId="77777777">
        <w:trPr>
          <w:trHeight w:val="528"/>
        </w:trPr>
        <w:tc>
          <w:tcPr>
            <w:tcW w:w="280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2EB459" w14:textId="77777777" w:rsidR="004A009C" w:rsidRDefault="00B365B2">
            <w:r>
              <w:rPr>
                <w:rFonts w:ascii="Times New Roman" w:eastAsia="Times New Roman" w:hAnsi="Times New Roman" w:cs="Times New Roman"/>
                <w:sz w:val="20"/>
              </w:rPr>
              <w:t xml:space="preserve">Numer księgi wieczystej  </w:t>
            </w:r>
          </w:p>
        </w:tc>
        <w:tc>
          <w:tcPr>
            <w:tcW w:w="6839" w:type="dxa"/>
            <w:gridSpan w:val="2"/>
            <w:tcBorders>
              <w:top w:val="single" w:sz="4" w:space="0" w:color="000000"/>
              <w:left w:val="single" w:sz="4" w:space="0" w:color="000000"/>
              <w:bottom w:val="single" w:sz="4" w:space="0" w:color="000000"/>
              <w:right w:val="single" w:sz="4" w:space="0" w:color="000000"/>
            </w:tcBorders>
            <w:vAlign w:val="center"/>
          </w:tcPr>
          <w:p w14:paraId="5EC98988" w14:textId="45D5BB0F" w:rsidR="004A009C" w:rsidRPr="00C66EC0" w:rsidRDefault="00B365B2">
            <w:pPr>
              <w:ind w:left="2"/>
              <w:rPr>
                <w:rFonts w:ascii="Times New Roman" w:hAnsi="Times New Roman" w:cs="Times New Roman"/>
                <w:sz w:val="20"/>
                <w:szCs w:val="20"/>
              </w:rPr>
            </w:pPr>
            <w:r w:rsidRPr="00C66EC0">
              <w:rPr>
                <w:rFonts w:ascii="Times New Roman" w:eastAsia="Times New Roman" w:hAnsi="Times New Roman" w:cs="Times New Roman"/>
                <w:sz w:val="20"/>
                <w:szCs w:val="20"/>
              </w:rPr>
              <w:t xml:space="preserve"> </w:t>
            </w:r>
            <w:r w:rsidR="00333994" w:rsidRPr="00C66EC0">
              <w:rPr>
                <w:rFonts w:ascii="Times New Roman" w:eastAsia="Times New Roman" w:hAnsi="Times New Roman" w:cs="Times New Roman"/>
                <w:sz w:val="20"/>
                <w:szCs w:val="20"/>
              </w:rPr>
              <w:t>WA6M/005</w:t>
            </w:r>
            <w:r w:rsidR="00333994">
              <w:rPr>
                <w:rFonts w:ascii="Times New Roman" w:eastAsia="Times New Roman" w:hAnsi="Times New Roman" w:cs="Times New Roman"/>
                <w:sz w:val="20"/>
                <w:szCs w:val="20"/>
              </w:rPr>
              <w:t>31574</w:t>
            </w:r>
            <w:r w:rsidR="00333994" w:rsidRPr="00C66EC0">
              <w:rPr>
                <w:rFonts w:ascii="Times New Roman" w:eastAsia="Times New Roman" w:hAnsi="Times New Roman" w:cs="Times New Roman"/>
                <w:sz w:val="20"/>
                <w:szCs w:val="20"/>
              </w:rPr>
              <w:t>/</w:t>
            </w:r>
            <w:r w:rsidR="00333994">
              <w:rPr>
                <w:rFonts w:ascii="Times New Roman" w:eastAsia="Times New Roman" w:hAnsi="Times New Roman" w:cs="Times New Roman"/>
                <w:sz w:val="20"/>
                <w:szCs w:val="20"/>
              </w:rPr>
              <w:t>4</w:t>
            </w:r>
          </w:p>
        </w:tc>
      </w:tr>
      <w:tr w:rsidR="004A009C" w14:paraId="2BCF6418" w14:textId="77777777">
        <w:trPr>
          <w:trHeight w:val="1219"/>
        </w:trPr>
        <w:tc>
          <w:tcPr>
            <w:tcW w:w="280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43A2F2" w14:textId="77777777" w:rsidR="004A009C" w:rsidRDefault="00B365B2">
            <w:pPr>
              <w:ind w:right="50"/>
            </w:pPr>
            <w:r>
              <w:rPr>
                <w:rFonts w:ascii="Times New Roman" w:eastAsia="Times New Roman" w:hAnsi="Times New Roman" w:cs="Times New Roman"/>
                <w:sz w:val="20"/>
              </w:rPr>
              <w:t xml:space="preserve">Istniejące obciążenia hipoteczne nieruchomości lub wnioski o wpis w dziale czwartym księgi wieczystej </w:t>
            </w:r>
          </w:p>
        </w:tc>
        <w:tc>
          <w:tcPr>
            <w:tcW w:w="6839" w:type="dxa"/>
            <w:gridSpan w:val="2"/>
            <w:tcBorders>
              <w:top w:val="single" w:sz="4" w:space="0" w:color="000000"/>
              <w:left w:val="single" w:sz="4" w:space="0" w:color="000000"/>
              <w:bottom w:val="single" w:sz="4" w:space="0" w:color="000000"/>
              <w:right w:val="single" w:sz="4" w:space="0" w:color="000000"/>
            </w:tcBorders>
          </w:tcPr>
          <w:p w14:paraId="07CF03BF" w14:textId="1BC2CDF1" w:rsidR="004A009C" w:rsidRPr="00C66EC0" w:rsidRDefault="00B365B2">
            <w:pPr>
              <w:ind w:left="2"/>
              <w:rPr>
                <w:rFonts w:ascii="Times New Roman" w:hAnsi="Times New Roman" w:cs="Times New Roman"/>
                <w:sz w:val="20"/>
                <w:szCs w:val="20"/>
              </w:rPr>
            </w:pPr>
            <w:r w:rsidRPr="00C66EC0">
              <w:rPr>
                <w:rFonts w:ascii="Times New Roman" w:eastAsia="Times New Roman" w:hAnsi="Times New Roman" w:cs="Times New Roman"/>
                <w:sz w:val="20"/>
                <w:szCs w:val="20"/>
              </w:rPr>
              <w:t xml:space="preserve"> </w:t>
            </w:r>
            <w:r w:rsidR="00D666BF" w:rsidRPr="00C66EC0">
              <w:rPr>
                <w:rFonts w:ascii="Times New Roman" w:eastAsia="Times New Roman" w:hAnsi="Times New Roman" w:cs="Times New Roman"/>
                <w:sz w:val="20"/>
                <w:szCs w:val="20"/>
              </w:rPr>
              <w:t>Brak</w:t>
            </w:r>
          </w:p>
        </w:tc>
      </w:tr>
      <w:tr w:rsidR="004A009C" w14:paraId="5B21D54D" w14:textId="77777777">
        <w:trPr>
          <w:trHeight w:val="1217"/>
        </w:trPr>
        <w:tc>
          <w:tcPr>
            <w:tcW w:w="280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3FBEEA" w14:textId="77777777" w:rsidR="004A009C" w:rsidRDefault="00B365B2">
            <w:pPr>
              <w:ind w:right="286"/>
            </w:pPr>
            <w:r>
              <w:rPr>
                <w:rFonts w:ascii="Times New Roman" w:eastAsia="Times New Roman" w:hAnsi="Times New Roman" w:cs="Times New Roman"/>
                <w:sz w:val="20"/>
              </w:rPr>
              <w:t>W przypadku braku księgi wieczystej informacja o powierzchni działki i stanie prawnym nieruchomości</w:t>
            </w:r>
            <w:r>
              <w:rPr>
                <w:rFonts w:ascii="Times New Roman" w:eastAsia="Times New Roman" w:hAnsi="Times New Roman" w:cs="Times New Roman"/>
                <w:sz w:val="20"/>
                <w:vertAlign w:val="superscript"/>
              </w:rPr>
              <w:footnoteReference w:id="2"/>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p>
        </w:tc>
        <w:tc>
          <w:tcPr>
            <w:tcW w:w="6839" w:type="dxa"/>
            <w:gridSpan w:val="2"/>
            <w:tcBorders>
              <w:top w:val="single" w:sz="4" w:space="0" w:color="000000"/>
              <w:left w:val="single" w:sz="4" w:space="0" w:color="000000"/>
              <w:bottom w:val="single" w:sz="4" w:space="0" w:color="000000"/>
              <w:right w:val="single" w:sz="4" w:space="0" w:color="000000"/>
            </w:tcBorders>
          </w:tcPr>
          <w:p w14:paraId="7E8BFACF" w14:textId="2C81B2FD" w:rsidR="004A009C" w:rsidRPr="00C66EC0" w:rsidRDefault="00B365B2">
            <w:pPr>
              <w:ind w:left="2"/>
              <w:rPr>
                <w:rFonts w:ascii="Times New Roman" w:hAnsi="Times New Roman" w:cs="Times New Roman"/>
                <w:sz w:val="20"/>
                <w:szCs w:val="20"/>
              </w:rPr>
            </w:pPr>
            <w:r w:rsidRPr="00C66EC0">
              <w:rPr>
                <w:rFonts w:ascii="Times New Roman" w:eastAsia="Times New Roman" w:hAnsi="Times New Roman" w:cs="Times New Roman"/>
                <w:sz w:val="20"/>
                <w:szCs w:val="20"/>
              </w:rPr>
              <w:t xml:space="preserve"> </w:t>
            </w:r>
            <w:r w:rsidR="00D666BF" w:rsidRPr="00C66EC0">
              <w:rPr>
                <w:rFonts w:ascii="Times New Roman" w:eastAsia="Times New Roman" w:hAnsi="Times New Roman" w:cs="Times New Roman"/>
                <w:sz w:val="20"/>
                <w:szCs w:val="20"/>
              </w:rPr>
              <w:t>Nie dotyczy</w:t>
            </w:r>
          </w:p>
        </w:tc>
      </w:tr>
      <w:tr w:rsidR="004A009C" w:rsidRPr="00377BF6" w14:paraId="5FC8FFE2" w14:textId="77777777">
        <w:trPr>
          <w:trHeight w:val="1507"/>
        </w:trPr>
        <w:tc>
          <w:tcPr>
            <w:tcW w:w="280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00DFC9" w14:textId="77777777" w:rsidR="004A009C" w:rsidRPr="00F446DF" w:rsidRDefault="00B365B2">
            <w:pPr>
              <w:ind w:right="126"/>
            </w:pPr>
            <w:r w:rsidRPr="00F446DF">
              <w:rPr>
                <w:rFonts w:ascii="Times New Roman" w:eastAsia="Times New Roman" w:hAnsi="Times New Roman" w:cs="Times New Roman"/>
                <w:sz w:val="20"/>
              </w:rPr>
              <w:t xml:space="preserve">Informacje dotyczące obiektów istniejących położonych w sąsiedztwie inwestycji </w:t>
            </w:r>
          </w:p>
          <w:p w14:paraId="089602AE" w14:textId="77777777" w:rsidR="004A009C" w:rsidRPr="00F446DF" w:rsidRDefault="00B365B2">
            <w:r w:rsidRPr="00F446DF">
              <w:rPr>
                <w:rFonts w:ascii="Times New Roman" w:eastAsia="Times New Roman" w:hAnsi="Times New Roman" w:cs="Times New Roman"/>
                <w:sz w:val="20"/>
              </w:rPr>
              <w:t>i wpływających na warunki życia</w:t>
            </w:r>
            <w:r w:rsidRPr="00F446DF">
              <w:rPr>
                <w:rFonts w:ascii="Times New Roman" w:eastAsia="Times New Roman" w:hAnsi="Times New Roman" w:cs="Times New Roman"/>
                <w:sz w:val="20"/>
                <w:vertAlign w:val="superscript"/>
              </w:rPr>
              <w:t>3)</w:t>
            </w:r>
            <w:r w:rsidRPr="00F446DF">
              <w:rPr>
                <w:rFonts w:ascii="Times New Roman" w:eastAsia="Times New Roman" w:hAnsi="Times New Roman" w:cs="Times New Roman"/>
                <w:sz w:val="20"/>
              </w:rPr>
              <w:t xml:space="preserve">  </w:t>
            </w:r>
          </w:p>
        </w:tc>
        <w:tc>
          <w:tcPr>
            <w:tcW w:w="6839" w:type="dxa"/>
            <w:gridSpan w:val="2"/>
            <w:tcBorders>
              <w:top w:val="single" w:sz="4" w:space="0" w:color="000000"/>
              <w:left w:val="single" w:sz="4" w:space="0" w:color="000000"/>
              <w:bottom w:val="single" w:sz="4" w:space="0" w:color="000000"/>
              <w:right w:val="single" w:sz="4" w:space="0" w:color="000000"/>
            </w:tcBorders>
            <w:vAlign w:val="center"/>
          </w:tcPr>
          <w:p w14:paraId="7DF18CD2" w14:textId="4DE9A515" w:rsidR="004A009C" w:rsidRPr="00C66EC0" w:rsidRDefault="00B365B2">
            <w:pPr>
              <w:spacing w:after="125"/>
              <w:ind w:left="2"/>
              <w:rPr>
                <w:sz w:val="20"/>
                <w:szCs w:val="20"/>
              </w:rPr>
            </w:pPr>
            <w:r w:rsidRPr="00C66EC0">
              <w:rPr>
                <w:rFonts w:ascii="Times New Roman" w:eastAsia="Times New Roman" w:hAnsi="Times New Roman" w:cs="Times New Roman"/>
                <w:sz w:val="20"/>
                <w:szCs w:val="20"/>
              </w:rPr>
              <w:t xml:space="preserve"> </w:t>
            </w:r>
            <w:r w:rsidR="00217D0B" w:rsidRPr="00C66EC0">
              <w:rPr>
                <w:rFonts w:ascii="Times New Roman" w:eastAsia="Times New Roman" w:hAnsi="Times New Roman" w:cs="Times New Roman"/>
                <w:sz w:val="20"/>
                <w:szCs w:val="20"/>
              </w:rPr>
              <w:t>Brak</w:t>
            </w:r>
            <w:r w:rsidR="0006068B">
              <w:rPr>
                <w:rFonts w:ascii="Times New Roman" w:eastAsia="Times New Roman" w:hAnsi="Times New Roman" w:cs="Times New Roman"/>
                <w:sz w:val="20"/>
                <w:szCs w:val="20"/>
              </w:rPr>
              <w:t xml:space="preserve"> </w:t>
            </w:r>
          </w:p>
          <w:p w14:paraId="36B45CA9" w14:textId="77777777" w:rsidR="004A009C" w:rsidRPr="00C66EC0" w:rsidRDefault="00B365B2">
            <w:pPr>
              <w:spacing w:after="125"/>
              <w:ind w:left="2"/>
              <w:rPr>
                <w:sz w:val="20"/>
                <w:szCs w:val="20"/>
              </w:rPr>
            </w:pPr>
            <w:r w:rsidRPr="00C66EC0">
              <w:rPr>
                <w:rFonts w:ascii="Times New Roman" w:eastAsia="Times New Roman" w:hAnsi="Times New Roman" w:cs="Times New Roman"/>
                <w:sz w:val="20"/>
                <w:szCs w:val="20"/>
              </w:rPr>
              <w:t xml:space="preserve"> </w:t>
            </w:r>
          </w:p>
          <w:p w14:paraId="40538959" w14:textId="77777777" w:rsidR="004A009C" w:rsidRPr="00C66EC0" w:rsidRDefault="00B365B2">
            <w:pPr>
              <w:ind w:left="2"/>
              <w:jc w:val="both"/>
              <w:rPr>
                <w:sz w:val="20"/>
                <w:szCs w:val="20"/>
              </w:rPr>
            </w:pPr>
            <w:r w:rsidRPr="00C66EC0">
              <w:rPr>
                <w:rFonts w:ascii="Times New Roman" w:eastAsia="Times New Roman" w:hAnsi="Times New Roman" w:cs="Times New Roman"/>
                <w:sz w:val="20"/>
                <w:szCs w:val="20"/>
              </w:rPr>
              <w:t xml:space="preserve">Uwarunkowania lokalizacji inwestycji wynikające z istniejącego stanu użytkowania terenów sąsiednich (np. z funkcji terenu, stref ochronnych, uciążliwości) </w:t>
            </w:r>
          </w:p>
        </w:tc>
      </w:tr>
      <w:tr w:rsidR="004A009C" w14:paraId="5F7A9E5C" w14:textId="77777777">
        <w:trPr>
          <w:trHeight w:val="1514"/>
        </w:trPr>
        <w:tc>
          <w:tcPr>
            <w:tcW w:w="280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3D0D782A" w14:textId="77777777" w:rsidR="004A009C" w:rsidRDefault="00B365B2">
            <w:pPr>
              <w:spacing w:after="144" w:line="239" w:lineRule="auto"/>
              <w:ind w:right="15"/>
            </w:pPr>
            <w:r>
              <w:rPr>
                <w:rFonts w:ascii="Times New Roman" w:eastAsia="Times New Roman" w:hAnsi="Times New Roman" w:cs="Times New Roman"/>
                <w:sz w:val="20"/>
              </w:rPr>
              <w:t xml:space="preserve">Akty planowania przestrzennego i inne akty prawne na terenie objętym przedsięwzięciem deweloperskim lub zadaniem inwestycyjnym </w:t>
            </w:r>
          </w:p>
          <w:p w14:paraId="48C7AEC9" w14:textId="77777777" w:rsidR="004A009C" w:rsidRDefault="00B365B2">
            <w:r>
              <w:rPr>
                <w:rFonts w:ascii="Times New Roman" w:eastAsia="Times New Roman" w:hAnsi="Times New Roman" w:cs="Times New Roman"/>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2F893275" w14:textId="77777777" w:rsidR="004A009C" w:rsidRDefault="00B365B2">
            <w:pPr>
              <w:ind w:left="2" w:right="48"/>
              <w:jc w:val="both"/>
            </w:pPr>
            <w:r>
              <w:rPr>
                <w:rFonts w:ascii="Times New Roman" w:eastAsia="Times New Roman" w:hAnsi="Times New Roman" w:cs="Times New Roman"/>
                <w:sz w:val="20"/>
              </w:rPr>
              <w:t xml:space="preserve">Studium uwarunkowań i kierunków zagospodarowania przestrzennego gminy </w:t>
            </w:r>
          </w:p>
        </w:tc>
        <w:tc>
          <w:tcPr>
            <w:tcW w:w="3419" w:type="dxa"/>
            <w:vMerge w:val="restart"/>
            <w:tcBorders>
              <w:top w:val="single" w:sz="4" w:space="0" w:color="000000"/>
              <w:left w:val="single" w:sz="4" w:space="0" w:color="000000"/>
              <w:bottom w:val="single" w:sz="4" w:space="0" w:color="000000"/>
              <w:right w:val="single" w:sz="4" w:space="0" w:color="000000"/>
            </w:tcBorders>
          </w:tcPr>
          <w:p w14:paraId="3F599010" w14:textId="40A51CE9" w:rsidR="004A009C" w:rsidRDefault="0006068B">
            <w:pPr>
              <w:ind w:left="4" w:right="4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Dla obszaru</w:t>
            </w:r>
            <w:r w:rsidR="00B6361C">
              <w:rPr>
                <w:rFonts w:ascii="Times New Roman" w:eastAsia="Times New Roman" w:hAnsi="Times New Roman" w:cs="Times New Roman"/>
                <w:sz w:val="20"/>
                <w:szCs w:val="20"/>
              </w:rPr>
              <w:t xml:space="preserve">, na którym zlokalizowana jest przedmiotowa nieruchomość </w:t>
            </w:r>
            <w:r>
              <w:rPr>
                <w:rFonts w:ascii="Times New Roman" w:eastAsia="Times New Roman" w:hAnsi="Times New Roman" w:cs="Times New Roman"/>
                <w:sz w:val="20"/>
                <w:szCs w:val="20"/>
              </w:rPr>
              <w:t>nie ma uchwalonego</w:t>
            </w:r>
            <w:r w:rsidR="000678FB" w:rsidRPr="00C66EC0">
              <w:rPr>
                <w:rFonts w:ascii="Times New Roman" w:eastAsia="Times New Roman" w:hAnsi="Times New Roman" w:cs="Times New Roman"/>
                <w:sz w:val="20"/>
                <w:szCs w:val="20"/>
              </w:rPr>
              <w:t xml:space="preserve"> miejscowego planu</w:t>
            </w:r>
            <w:r>
              <w:rPr>
                <w:rFonts w:ascii="Times New Roman" w:eastAsia="Times New Roman" w:hAnsi="Times New Roman" w:cs="Times New Roman"/>
                <w:sz w:val="20"/>
                <w:szCs w:val="20"/>
              </w:rPr>
              <w:t xml:space="preserve"> zagospodarowania przestrzennego</w:t>
            </w:r>
            <w:r w:rsidR="000678FB" w:rsidRPr="00C66EC0">
              <w:rPr>
                <w:rFonts w:ascii="Times New Roman" w:eastAsia="Times New Roman" w:hAnsi="Times New Roman" w:cs="Times New Roman"/>
                <w:sz w:val="20"/>
                <w:szCs w:val="20"/>
              </w:rPr>
              <w:t xml:space="preserve">, budowa w oparciu o zasady dobrego sąsiedztwa. </w:t>
            </w:r>
            <w:r w:rsidR="006002A9">
              <w:rPr>
                <w:rFonts w:ascii="Times New Roman" w:eastAsia="Times New Roman" w:hAnsi="Times New Roman" w:cs="Times New Roman"/>
                <w:sz w:val="20"/>
                <w:szCs w:val="20"/>
              </w:rPr>
              <w:t xml:space="preserve">W dniu 04.04.2023 r. została wydana </w:t>
            </w:r>
            <w:r w:rsidR="006002A9" w:rsidRPr="00C66EC0">
              <w:rPr>
                <w:rFonts w:ascii="Times New Roman" w:eastAsia="Times New Roman" w:hAnsi="Times New Roman" w:cs="Times New Roman"/>
                <w:sz w:val="20"/>
                <w:szCs w:val="20"/>
              </w:rPr>
              <w:t>decyzj</w:t>
            </w:r>
            <w:r w:rsidR="006002A9">
              <w:rPr>
                <w:rFonts w:ascii="Times New Roman" w:eastAsia="Times New Roman" w:hAnsi="Times New Roman" w:cs="Times New Roman"/>
                <w:sz w:val="20"/>
                <w:szCs w:val="20"/>
              </w:rPr>
              <w:t xml:space="preserve">a o Warunkach Zabudowy nr 91/WZ/2023. </w:t>
            </w:r>
            <w:r w:rsidR="000678FB" w:rsidRPr="00C66EC0">
              <w:rPr>
                <w:rFonts w:ascii="Times New Roman" w:eastAsia="Times New Roman" w:hAnsi="Times New Roman" w:cs="Times New Roman"/>
                <w:sz w:val="20"/>
                <w:szCs w:val="20"/>
              </w:rPr>
              <w:t xml:space="preserve">W dniu </w:t>
            </w:r>
            <w:r w:rsidR="00217D0B" w:rsidRPr="00C66EC0">
              <w:rPr>
                <w:rFonts w:ascii="Times New Roman" w:eastAsia="Times New Roman" w:hAnsi="Times New Roman" w:cs="Times New Roman"/>
                <w:sz w:val="20"/>
                <w:szCs w:val="20"/>
              </w:rPr>
              <w:t>1</w:t>
            </w:r>
            <w:r w:rsidR="00333994">
              <w:rPr>
                <w:rFonts w:ascii="Times New Roman" w:eastAsia="Times New Roman" w:hAnsi="Times New Roman" w:cs="Times New Roman"/>
                <w:sz w:val="20"/>
                <w:szCs w:val="20"/>
              </w:rPr>
              <w:t>3</w:t>
            </w:r>
            <w:r w:rsidR="00217D0B" w:rsidRPr="00C66EC0">
              <w:rPr>
                <w:rFonts w:ascii="Times New Roman" w:eastAsia="Times New Roman" w:hAnsi="Times New Roman" w:cs="Times New Roman"/>
                <w:sz w:val="20"/>
                <w:szCs w:val="20"/>
              </w:rPr>
              <w:t xml:space="preserve"> </w:t>
            </w:r>
            <w:r w:rsidR="00333994">
              <w:rPr>
                <w:rFonts w:ascii="Times New Roman" w:eastAsia="Times New Roman" w:hAnsi="Times New Roman" w:cs="Times New Roman"/>
                <w:sz w:val="20"/>
                <w:szCs w:val="20"/>
              </w:rPr>
              <w:t>listopada</w:t>
            </w:r>
            <w:r w:rsidR="00217D0B" w:rsidRPr="00C66EC0">
              <w:rPr>
                <w:rFonts w:ascii="Times New Roman" w:eastAsia="Times New Roman" w:hAnsi="Times New Roman" w:cs="Times New Roman"/>
                <w:sz w:val="20"/>
                <w:szCs w:val="20"/>
              </w:rPr>
              <w:t xml:space="preserve"> 2023</w:t>
            </w:r>
            <w:r w:rsidR="000678FB" w:rsidRPr="00C66EC0">
              <w:rPr>
                <w:rFonts w:ascii="Times New Roman" w:eastAsia="Times New Roman" w:hAnsi="Times New Roman" w:cs="Times New Roman"/>
                <w:sz w:val="20"/>
                <w:szCs w:val="20"/>
              </w:rPr>
              <w:t xml:space="preserve"> roku została wydana decyzja zatwierdzająca projekt budowlany i udzielająca pozwolenie na budowę, znak:</w:t>
            </w:r>
            <w:r w:rsidR="00217D0B" w:rsidRPr="00C66EC0">
              <w:rPr>
                <w:rFonts w:ascii="Times New Roman" w:eastAsia="Times New Roman" w:hAnsi="Times New Roman" w:cs="Times New Roman"/>
                <w:sz w:val="20"/>
                <w:szCs w:val="20"/>
              </w:rPr>
              <w:t xml:space="preserve"> UD-XIII-WAB-AB.6740.</w:t>
            </w:r>
            <w:r w:rsidR="00333994">
              <w:rPr>
                <w:rFonts w:ascii="Times New Roman" w:eastAsia="Times New Roman" w:hAnsi="Times New Roman" w:cs="Times New Roman"/>
                <w:sz w:val="20"/>
                <w:szCs w:val="20"/>
              </w:rPr>
              <w:t>481</w:t>
            </w:r>
            <w:r w:rsidR="00217D0B" w:rsidRPr="00C66EC0">
              <w:rPr>
                <w:rFonts w:ascii="Times New Roman" w:eastAsia="Times New Roman" w:hAnsi="Times New Roman" w:cs="Times New Roman"/>
                <w:sz w:val="20"/>
                <w:szCs w:val="20"/>
              </w:rPr>
              <w:t>.2023.KLA</w:t>
            </w:r>
            <w:r w:rsidR="000678FB" w:rsidRPr="00C66EC0">
              <w:rPr>
                <w:rFonts w:ascii="Times New Roman" w:eastAsia="Times New Roman" w:hAnsi="Times New Roman" w:cs="Times New Roman"/>
                <w:sz w:val="20"/>
                <w:szCs w:val="20"/>
              </w:rPr>
              <w:t xml:space="preserve"> o numerze</w:t>
            </w:r>
            <w:r w:rsidR="00217D0B" w:rsidRPr="00C66EC0">
              <w:rPr>
                <w:rFonts w:ascii="Times New Roman" w:eastAsia="Times New Roman" w:hAnsi="Times New Roman" w:cs="Times New Roman"/>
                <w:sz w:val="20"/>
                <w:szCs w:val="20"/>
              </w:rPr>
              <w:t xml:space="preserve"> </w:t>
            </w:r>
            <w:r w:rsidR="00333994">
              <w:rPr>
                <w:rFonts w:ascii="Times New Roman" w:eastAsia="Times New Roman" w:hAnsi="Times New Roman" w:cs="Times New Roman"/>
                <w:sz w:val="20"/>
                <w:szCs w:val="20"/>
              </w:rPr>
              <w:t>404</w:t>
            </w:r>
            <w:r w:rsidR="00217D0B" w:rsidRPr="00C66EC0">
              <w:rPr>
                <w:rFonts w:ascii="Times New Roman" w:eastAsia="Times New Roman" w:hAnsi="Times New Roman" w:cs="Times New Roman"/>
                <w:sz w:val="20"/>
                <w:szCs w:val="20"/>
              </w:rPr>
              <w:t>/PBR/2023</w:t>
            </w:r>
            <w:r w:rsidR="000678FB" w:rsidRPr="00C66EC0">
              <w:rPr>
                <w:rFonts w:ascii="Times New Roman" w:eastAsia="Times New Roman" w:hAnsi="Times New Roman" w:cs="Times New Roman"/>
                <w:sz w:val="20"/>
                <w:szCs w:val="20"/>
              </w:rPr>
              <w:t xml:space="preserve"> wydana z upoważnienia Prezydenta m.st. Warszawy na spółkę Śledzik Smolicki V</w:t>
            </w:r>
            <w:r w:rsidR="00D46CB3" w:rsidRPr="00C66EC0">
              <w:rPr>
                <w:rFonts w:ascii="Times New Roman" w:eastAsia="Times New Roman" w:hAnsi="Times New Roman" w:cs="Times New Roman"/>
                <w:sz w:val="20"/>
                <w:szCs w:val="20"/>
              </w:rPr>
              <w:t>P</w:t>
            </w:r>
            <w:r w:rsidR="000678FB" w:rsidRPr="00C66EC0">
              <w:rPr>
                <w:rFonts w:ascii="Times New Roman" w:eastAsia="Times New Roman" w:hAnsi="Times New Roman" w:cs="Times New Roman"/>
                <w:sz w:val="20"/>
                <w:szCs w:val="20"/>
              </w:rPr>
              <w:t xml:space="preserve"> Invest Development</w:t>
            </w:r>
            <w:r>
              <w:rPr>
                <w:rFonts w:ascii="Times New Roman" w:eastAsia="Times New Roman" w:hAnsi="Times New Roman" w:cs="Times New Roman"/>
                <w:sz w:val="20"/>
                <w:szCs w:val="20"/>
              </w:rPr>
              <w:t>.</w:t>
            </w:r>
          </w:p>
          <w:p w14:paraId="5369B1BC" w14:textId="5E81C641" w:rsidR="0006068B" w:rsidRDefault="0075499B">
            <w:pPr>
              <w:ind w:left="4" w:right="49"/>
              <w:jc w:val="both"/>
              <w:rPr>
                <w:rFonts w:ascii="Times New Roman" w:hAnsi="Times New Roman" w:cs="Times New Roman"/>
                <w:sz w:val="20"/>
                <w:szCs w:val="20"/>
              </w:rPr>
            </w:pPr>
            <w:r w:rsidRPr="0075499B">
              <w:rPr>
                <w:rFonts w:ascii="Times New Roman" w:hAnsi="Times New Roman" w:cs="Times New Roman"/>
                <w:sz w:val="20"/>
                <w:szCs w:val="20"/>
              </w:rPr>
              <w:t xml:space="preserve">Cała planowana inwestycja na działkach gruntu 11/4 i 11/5 </w:t>
            </w:r>
            <w:r w:rsidR="00B6361C">
              <w:rPr>
                <w:rFonts w:ascii="Times New Roman" w:hAnsi="Times New Roman" w:cs="Times New Roman"/>
                <w:sz w:val="20"/>
                <w:szCs w:val="20"/>
              </w:rPr>
              <w:t xml:space="preserve">będzie realizowana </w:t>
            </w:r>
            <w:r w:rsidR="006002A9">
              <w:rPr>
                <w:rFonts w:ascii="Times New Roman" w:hAnsi="Times New Roman" w:cs="Times New Roman"/>
                <w:sz w:val="20"/>
                <w:szCs w:val="20"/>
              </w:rPr>
              <w:t>w kilku etapach</w:t>
            </w:r>
            <w:r w:rsidR="00B6361C">
              <w:rPr>
                <w:rFonts w:ascii="Times New Roman" w:hAnsi="Times New Roman" w:cs="Times New Roman"/>
                <w:sz w:val="20"/>
                <w:szCs w:val="20"/>
              </w:rPr>
              <w:t xml:space="preserve">  i </w:t>
            </w:r>
            <w:r>
              <w:rPr>
                <w:rFonts w:ascii="Times New Roman" w:hAnsi="Times New Roman" w:cs="Times New Roman"/>
                <w:sz w:val="20"/>
                <w:szCs w:val="20"/>
              </w:rPr>
              <w:t>polegać będzie na budowie 1</w:t>
            </w:r>
            <w:r w:rsidR="00B6361C">
              <w:rPr>
                <w:rFonts w:ascii="Times New Roman" w:hAnsi="Times New Roman" w:cs="Times New Roman"/>
                <w:sz w:val="20"/>
                <w:szCs w:val="20"/>
              </w:rPr>
              <w:t>3</w:t>
            </w:r>
            <w:r>
              <w:rPr>
                <w:rFonts w:ascii="Times New Roman" w:hAnsi="Times New Roman" w:cs="Times New Roman"/>
                <w:sz w:val="20"/>
                <w:szCs w:val="20"/>
              </w:rPr>
              <w:t xml:space="preserve"> budynków mieszkalnych w zabudowie bliźniaczej (łącznie co najmniej 2</w:t>
            </w:r>
            <w:r w:rsidR="00B6361C">
              <w:rPr>
                <w:rFonts w:ascii="Times New Roman" w:hAnsi="Times New Roman" w:cs="Times New Roman"/>
                <w:sz w:val="20"/>
                <w:szCs w:val="20"/>
              </w:rPr>
              <w:t>6</w:t>
            </w:r>
            <w:r>
              <w:rPr>
                <w:rFonts w:ascii="Times New Roman" w:hAnsi="Times New Roman" w:cs="Times New Roman"/>
                <w:sz w:val="20"/>
                <w:szCs w:val="20"/>
              </w:rPr>
              <w:t xml:space="preserve"> lokale mieszkalne) oraz 3 budynków jednorodzinnych w zabudowie wolnostojącej.</w:t>
            </w:r>
          </w:p>
          <w:p w14:paraId="329D1CEC" w14:textId="77777777" w:rsidR="0075499B" w:rsidRDefault="0075499B">
            <w:pPr>
              <w:ind w:left="4" w:right="49"/>
              <w:jc w:val="both"/>
              <w:rPr>
                <w:rFonts w:ascii="Times New Roman" w:hAnsi="Times New Roman" w:cs="Times New Roman"/>
                <w:sz w:val="20"/>
                <w:szCs w:val="20"/>
              </w:rPr>
            </w:pPr>
            <w:r>
              <w:rPr>
                <w:rFonts w:ascii="Times New Roman" w:hAnsi="Times New Roman" w:cs="Times New Roman"/>
                <w:sz w:val="20"/>
                <w:szCs w:val="20"/>
              </w:rPr>
              <w:t>Reklama inwestycji zgodnie z zapisem § 12 punkt 1 Umowy Deweloperskiej.</w:t>
            </w:r>
          </w:p>
          <w:p w14:paraId="3D617963" w14:textId="11E24448" w:rsidR="0075499B" w:rsidRPr="0075499B" w:rsidRDefault="0075499B">
            <w:pPr>
              <w:ind w:left="4" w:right="49"/>
              <w:jc w:val="both"/>
              <w:rPr>
                <w:rFonts w:ascii="Times New Roman" w:hAnsi="Times New Roman" w:cs="Times New Roman"/>
                <w:sz w:val="20"/>
                <w:szCs w:val="20"/>
              </w:rPr>
            </w:pPr>
            <w:r>
              <w:rPr>
                <w:rFonts w:ascii="Times New Roman" w:hAnsi="Times New Roman" w:cs="Times New Roman"/>
                <w:sz w:val="20"/>
                <w:szCs w:val="20"/>
              </w:rPr>
              <w:lastRenderedPageBreak/>
              <w:t>Trasa Olszynki Grochowskiej – planowany przebieg</w:t>
            </w:r>
            <w:r w:rsidR="00AB3A37">
              <w:rPr>
                <w:rFonts w:ascii="Times New Roman" w:hAnsi="Times New Roman" w:cs="Times New Roman"/>
                <w:sz w:val="20"/>
                <w:szCs w:val="20"/>
              </w:rPr>
              <w:t xml:space="preserve"> opisany na stronie</w:t>
            </w:r>
            <w:r>
              <w:rPr>
                <w:rFonts w:ascii="Times New Roman" w:hAnsi="Times New Roman" w:cs="Times New Roman"/>
                <w:sz w:val="20"/>
                <w:szCs w:val="20"/>
              </w:rPr>
              <w:t xml:space="preserve"> www.siskom.waw.pl</w:t>
            </w:r>
          </w:p>
        </w:tc>
      </w:tr>
      <w:tr w:rsidR="004A009C" w14:paraId="027E4305" w14:textId="77777777">
        <w:trPr>
          <w:trHeight w:val="758"/>
        </w:trPr>
        <w:tc>
          <w:tcPr>
            <w:tcW w:w="0" w:type="auto"/>
            <w:vMerge/>
            <w:tcBorders>
              <w:top w:val="nil"/>
              <w:left w:val="single" w:sz="4" w:space="0" w:color="000000"/>
              <w:bottom w:val="nil"/>
              <w:right w:val="single" w:sz="4" w:space="0" w:color="000000"/>
            </w:tcBorders>
          </w:tcPr>
          <w:p w14:paraId="7E1A0FA0"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48D67605" w14:textId="77777777" w:rsidR="004A009C" w:rsidRDefault="00B365B2">
            <w:pPr>
              <w:ind w:left="2"/>
            </w:pPr>
            <w:r>
              <w:rPr>
                <w:rFonts w:ascii="Times New Roman" w:eastAsia="Times New Roman" w:hAnsi="Times New Roman" w:cs="Times New Roman"/>
                <w:sz w:val="20"/>
              </w:rPr>
              <w:t xml:space="preserve">Miejscowy plan zagospodarowania przestrzennego </w:t>
            </w:r>
          </w:p>
        </w:tc>
        <w:tc>
          <w:tcPr>
            <w:tcW w:w="0" w:type="auto"/>
            <w:vMerge/>
            <w:tcBorders>
              <w:top w:val="nil"/>
              <w:left w:val="single" w:sz="4" w:space="0" w:color="000000"/>
              <w:bottom w:val="nil"/>
              <w:right w:val="single" w:sz="4" w:space="0" w:color="000000"/>
            </w:tcBorders>
          </w:tcPr>
          <w:p w14:paraId="667A7242" w14:textId="77777777" w:rsidR="004A009C" w:rsidRDefault="004A009C"/>
        </w:tc>
      </w:tr>
      <w:tr w:rsidR="004A009C" w14:paraId="4F7BC292" w14:textId="77777777">
        <w:trPr>
          <w:trHeight w:val="529"/>
        </w:trPr>
        <w:tc>
          <w:tcPr>
            <w:tcW w:w="0" w:type="auto"/>
            <w:vMerge/>
            <w:tcBorders>
              <w:top w:val="nil"/>
              <w:left w:val="single" w:sz="4" w:space="0" w:color="000000"/>
              <w:bottom w:val="nil"/>
              <w:right w:val="single" w:sz="4" w:space="0" w:color="000000"/>
            </w:tcBorders>
          </w:tcPr>
          <w:p w14:paraId="40DDBFA7"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160E434A" w14:textId="77777777" w:rsidR="004A009C" w:rsidRDefault="00B365B2">
            <w:pPr>
              <w:ind w:left="2"/>
            </w:pPr>
            <w:r>
              <w:rPr>
                <w:rFonts w:ascii="Times New Roman" w:eastAsia="Times New Roman" w:hAnsi="Times New Roman" w:cs="Times New Roman"/>
                <w:sz w:val="20"/>
              </w:rPr>
              <w:t xml:space="preserve">Miejscowy plan rewitalizacji </w:t>
            </w:r>
          </w:p>
        </w:tc>
        <w:tc>
          <w:tcPr>
            <w:tcW w:w="0" w:type="auto"/>
            <w:vMerge/>
            <w:tcBorders>
              <w:top w:val="nil"/>
              <w:left w:val="single" w:sz="4" w:space="0" w:color="000000"/>
              <w:bottom w:val="nil"/>
              <w:right w:val="single" w:sz="4" w:space="0" w:color="000000"/>
            </w:tcBorders>
          </w:tcPr>
          <w:p w14:paraId="3C381B4A" w14:textId="77777777" w:rsidR="004A009C" w:rsidRDefault="004A009C"/>
        </w:tc>
      </w:tr>
      <w:tr w:rsidR="004A009C" w14:paraId="75FF3BC0" w14:textId="77777777">
        <w:trPr>
          <w:trHeight w:val="528"/>
        </w:trPr>
        <w:tc>
          <w:tcPr>
            <w:tcW w:w="0" w:type="auto"/>
            <w:vMerge/>
            <w:tcBorders>
              <w:top w:val="nil"/>
              <w:left w:val="single" w:sz="4" w:space="0" w:color="000000"/>
              <w:bottom w:val="nil"/>
              <w:right w:val="single" w:sz="4" w:space="0" w:color="000000"/>
            </w:tcBorders>
          </w:tcPr>
          <w:p w14:paraId="59E428F7"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10461FA" w14:textId="77777777" w:rsidR="004A009C" w:rsidRDefault="00B365B2">
            <w:pPr>
              <w:ind w:left="2"/>
            </w:pPr>
            <w:r>
              <w:rPr>
                <w:rFonts w:ascii="Times New Roman" w:eastAsia="Times New Roman" w:hAnsi="Times New Roman" w:cs="Times New Roman"/>
                <w:sz w:val="20"/>
              </w:rPr>
              <w:t xml:space="preserve">Miejscowy plan odbudowy  </w:t>
            </w:r>
          </w:p>
        </w:tc>
        <w:tc>
          <w:tcPr>
            <w:tcW w:w="0" w:type="auto"/>
            <w:vMerge/>
            <w:tcBorders>
              <w:top w:val="nil"/>
              <w:left w:val="single" w:sz="4" w:space="0" w:color="000000"/>
              <w:bottom w:val="nil"/>
              <w:right w:val="single" w:sz="4" w:space="0" w:color="000000"/>
            </w:tcBorders>
          </w:tcPr>
          <w:p w14:paraId="402F69EB" w14:textId="77777777" w:rsidR="004A009C" w:rsidRDefault="004A009C"/>
        </w:tc>
      </w:tr>
      <w:tr w:rsidR="004A009C" w14:paraId="00BD8C18" w14:textId="77777777">
        <w:trPr>
          <w:trHeight w:val="528"/>
        </w:trPr>
        <w:tc>
          <w:tcPr>
            <w:tcW w:w="0" w:type="auto"/>
            <w:vMerge/>
            <w:tcBorders>
              <w:top w:val="nil"/>
              <w:left w:val="single" w:sz="4" w:space="0" w:color="000000"/>
              <w:bottom w:val="single" w:sz="4" w:space="0" w:color="000000"/>
              <w:right w:val="single" w:sz="4" w:space="0" w:color="000000"/>
            </w:tcBorders>
          </w:tcPr>
          <w:p w14:paraId="5BA43DB8"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46E0972E" w14:textId="77777777" w:rsidR="004A009C" w:rsidRDefault="00B365B2">
            <w:pPr>
              <w:ind w:left="2"/>
            </w:pPr>
            <w:r>
              <w:rPr>
                <w:rFonts w:ascii="Times New Roman" w:eastAsia="Times New Roman" w:hAnsi="Times New Roman" w:cs="Times New Roman"/>
                <w:sz w:val="20"/>
              </w:rPr>
              <w:t>Inne</w:t>
            </w:r>
            <w:r>
              <w:rPr>
                <w:rFonts w:ascii="Times New Roman" w:eastAsia="Times New Roman" w:hAnsi="Times New Roman" w:cs="Times New Roman"/>
                <w:sz w:val="20"/>
                <w:vertAlign w:val="superscript"/>
              </w:rPr>
              <w:t>4)</w:t>
            </w:r>
            <w:r>
              <w:rPr>
                <w:rFonts w:ascii="Times New Roman" w:eastAsia="Times New Roman" w:hAnsi="Times New Roman" w:cs="Times New Roman"/>
                <w:sz w:val="20"/>
              </w:rPr>
              <w:t xml:space="preserve"> </w:t>
            </w:r>
          </w:p>
        </w:tc>
        <w:tc>
          <w:tcPr>
            <w:tcW w:w="0" w:type="auto"/>
            <w:vMerge/>
            <w:tcBorders>
              <w:top w:val="nil"/>
              <w:left w:val="single" w:sz="4" w:space="0" w:color="000000"/>
              <w:bottom w:val="single" w:sz="4" w:space="0" w:color="000000"/>
              <w:right w:val="single" w:sz="4" w:space="0" w:color="000000"/>
            </w:tcBorders>
          </w:tcPr>
          <w:p w14:paraId="3114A9A9" w14:textId="77777777" w:rsidR="004A009C" w:rsidRDefault="004A009C"/>
        </w:tc>
      </w:tr>
      <w:tr w:rsidR="004A009C" w14:paraId="500E6E14" w14:textId="77777777">
        <w:trPr>
          <w:trHeight w:val="528"/>
        </w:trPr>
        <w:tc>
          <w:tcPr>
            <w:tcW w:w="280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2B42414" w14:textId="77777777" w:rsidR="004A009C" w:rsidRPr="00F446DF" w:rsidRDefault="00B365B2">
            <w:pPr>
              <w:spacing w:after="145" w:line="239" w:lineRule="auto"/>
            </w:pPr>
            <w:r w:rsidRPr="00F446DF">
              <w:rPr>
                <w:rFonts w:ascii="Times New Roman" w:eastAsia="Times New Roman" w:hAnsi="Times New Roman" w:cs="Times New Roman"/>
                <w:sz w:val="20"/>
              </w:rPr>
              <w:t xml:space="preserve">Ustalenia obowiązującego miejscowego planu zagospodarowania przestrzennego dla terenu objętego przedsięwzięciem deweloperskim lub zadaniem inwestycyjnym  </w:t>
            </w:r>
          </w:p>
          <w:p w14:paraId="53D8BEF3" w14:textId="77777777" w:rsidR="004A009C" w:rsidRPr="00F446DF" w:rsidRDefault="00B365B2">
            <w:r w:rsidRPr="00F446DF">
              <w:rPr>
                <w:rFonts w:ascii="Times New Roman" w:eastAsia="Times New Roman" w:hAnsi="Times New Roman" w:cs="Times New Roman"/>
                <w:sz w:val="20"/>
              </w:rPr>
              <w:t xml:space="preserve"> </w:t>
            </w:r>
          </w:p>
        </w:tc>
        <w:tc>
          <w:tcPr>
            <w:tcW w:w="3419" w:type="dxa"/>
            <w:tcBorders>
              <w:top w:val="single" w:sz="4" w:space="0" w:color="000000"/>
              <w:left w:val="single" w:sz="4" w:space="0" w:color="000000"/>
              <w:bottom w:val="single" w:sz="4" w:space="0" w:color="000000"/>
              <w:right w:val="single" w:sz="4" w:space="0" w:color="000000"/>
            </w:tcBorders>
            <w:vAlign w:val="center"/>
          </w:tcPr>
          <w:p w14:paraId="3D2251A5" w14:textId="77777777" w:rsidR="004A009C" w:rsidRPr="00F446DF" w:rsidRDefault="00B365B2">
            <w:pPr>
              <w:ind w:left="2"/>
            </w:pPr>
            <w:r w:rsidRPr="00F446DF">
              <w:rPr>
                <w:rFonts w:ascii="Times New Roman" w:eastAsia="Times New Roman" w:hAnsi="Times New Roman" w:cs="Times New Roman"/>
                <w:sz w:val="20"/>
              </w:rPr>
              <w:t xml:space="preserve">Przeznaczenie terenu </w:t>
            </w:r>
          </w:p>
        </w:tc>
        <w:tc>
          <w:tcPr>
            <w:tcW w:w="3419" w:type="dxa"/>
            <w:tcBorders>
              <w:top w:val="single" w:sz="4" w:space="0" w:color="000000"/>
              <w:left w:val="single" w:sz="4" w:space="0" w:color="000000"/>
              <w:bottom w:val="single" w:sz="4" w:space="0" w:color="000000"/>
              <w:right w:val="single" w:sz="4" w:space="0" w:color="000000"/>
            </w:tcBorders>
            <w:vAlign w:val="center"/>
          </w:tcPr>
          <w:p w14:paraId="68A2FE9B" w14:textId="39D26CFA"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0D30F9E1" w14:textId="77777777">
        <w:trPr>
          <w:trHeight w:val="758"/>
        </w:trPr>
        <w:tc>
          <w:tcPr>
            <w:tcW w:w="0" w:type="auto"/>
            <w:vMerge/>
            <w:tcBorders>
              <w:top w:val="nil"/>
              <w:left w:val="single" w:sz="4" w:space="0" w:color="000000"/>
              <w:bottom w:val="nil"/>
              <w:right w:val="single" w:sz="4" w:space="0" w:color="000000"/>
            </w:tcBorders>
          </w:tcPr>
          <w:p w14:paraId="54A1D313" w14:textId="77777777" w:rsidR="004A009C" w:rsidRPr="00F446DF"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5F2B69A0" w14:textId="77777777" w:rsidR="004A009C" w:rsidRPr="00F446DF" w:rsidRDefault="00B365B2">
            <w:pPr>
              <w:ind w:left="2"/>
            </w:pPr>
            <w:r w:rsidRPr="00F446DF">
              <w:rPr>
                <w:rFonts w:ascii="Times New Roman" w:eastAsia="Times New Roman" w:hAnsi="Times New Roman" w:cs="Times New Roman"/>
                <w:sz w:val="20"/>
              </w:rPr>
              <w:t xml:space="preserve">Maksymalna i minimalna intensywność zabudowy </w:t>
            </w:r>
          </w:p>
        </w:tc>
        <w:tc>
          <w:tcPr>
            <w:tcW w:w="3419" w:type="dxa"/>
            <w:tcBorders>
              <w:top w:val="single" w:sz="4" w:space="0" w:color="000000"/>
              <w:left w:val="single" w:sz="4" w:space="0" w:color="000000"/>
              <w:bottom w:val="single" w:sz="4" w:space="0" w:color="000000"/>
              <w:right w:val="single" w:sz="4" w:space="0" w:color="000000"/>
            </w:tcBorders>
          </w:tcPr>
          <w:p w14:paraId="1F800448" w14:textId="11E6C048"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24DE4C8C" w14:textId="77777777">
        <w:trPr>
          <w:trHeight w:val="528"/>
        </w:trPr>
        <w:tc>
          <w:tcPr>
            <w:tcW w:w="0" w:type="auto"/>
            <w:vMerge/>
            <w:tcBorders>
              <w:top w:val="nil"/>
              <w:left w:val="single" w:sz="4" w:space="0" w:color="000000"/>
              <w:bottom w:val="nil"/>
              <w:right w:val="single" w:sz="4" w:space="0" w:color="000000"/>
            </w:tcBorders>
          </w:tcPr>
          <w:p w14:paraId="2AEED74D"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7C65F0B" w14:textId="77777777" w:rsidR="004A009C" w:rsidRPr="00F446DF" w:rsidRDefault="00B365B2">
            <w:pPr>
              <w:ind w:left="2"/>
            </w:pPr>
            <w:r w:rsidRPr="00F446DF">
              <w:rPr>
                <w:rFonts w:ascii="Times New Roman" w:eastAsia="Times New Roman" w:hAnsi="Times New Roman" w:cs="Times New Roman"/>
                <w:sz w:val="20"/>
              </w:rPr>
              <w:t xml:space="preserve">Maksymalna wysokość zabudowy </w:t>
            </w:r>
          </w:p>
        </w:tc>
        <w:tc>
          <w:tcPr>
            <w:tcW w:w="3419" w:type="dxa"/>
            <w:tcBorders>
              <w:top w:val="single" w:sz="4" w:space="0" w:color="000000"/>
              <w:left w:val="single" w:sz="4" w:space="0" w:color="000000"/>
              <w:bottom w:val="single" w:sz="4" w:space="0" w:color="000000"/>
              <w:right w:val="single" w:sz="4" w:space="0" w:color="000000"/>
            </w:tcBorders>
            <w:vAlign w:val="center"/>
          </w:tcPr>
          <w:p w14:paraId="0038FA13" w14:textId="19D1D9E5"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51C273F2" w14:textId="77777777">
        <w:trPr>
          <w:trHeight w:val="759"/>
        </w:trPr>
        <w:tc>
          <w:tcPr>
            <w:tcW w:w="0" w:type="auto"/>
            <w:vMerge/>
            <w:tcBorders>
              <w:top w:val="nil"/>
              <w:left w:val="single" w:sz="4" w:space="0" w:color="000000"/>
              <w:bottom w:val="nil"/>
              <w:right w:val="single" w:sz="4" w:space="0" w:color="000000"/>
            </w:tcBorders>
          </w:tcPr>
          <w:p w14:paraId="7F2B5FB0"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3E02E071" w14:textId="77777777" w:rsidR="004A009C" w:rsidRPr="00F446DF" w:rsidRDefault="00B365B2">
            <w:pPr>
              <w:ind w:left="2"/>
              <w:jc w:val="both"/>
            </w:pPr>
            <w:r w:rsidRPr="00F446DF">
              <w:rPr>
                <w:rFonts w:ascii="Times New Roman" w:eastAsia="Times New Roman" w:hAnsi="Times New Roman" w:cs="Times New Roman"/>
                <w:sz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tcPr>
          <w:p w14:paraId="0F69327C" w14:textId="13887BBB"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3DD7B41C" w14:textId="77777777">
        <w:trPr>
          <w:trHeight w:val="528"/>
        </w:trPr>
        <w:tc>
          <w:tcPr>
            <w:tcW w:w="0" w:type="auto"/>
            <w:vMerge/>
            <w:tcBorders>
              <w:top w:val="nil"/>
              <w:left w:val="single" w:sz="4" w:space="0" w:color="000000"/>
              <w:bottom w:val="nil"/>
              <w:right w:val="single" w:sz="4" w:space="0" w:color="000000"/>
            </w:tcBorders>
          </w:tcPr>
          <w:p w14:paraId="2BE6EDE5"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55414202" w14:textId="77777777" w:rsidR="004A009C" w:rsidRPr="00F446DF" w:rsidRDefault="00B365B2">
            <w:pPr>
              <w:ind w:left="2"/>
            </w:pPr>
            <w:r w:rsidRPr="00F446DF">
              <w:rPr>
                <w:rFonts w:ascii="Times New Roman" w:eastAsia="Times New Roman" w:hAnsi="Times New Roman" w:cs="Times New Roman"/>
                <w:sz w:val="20"/>
              </w:rPr>
              <w:t xml:space="preserve">Minimalna liczba miejsc do parkowania </w:t>
            </w:r>
          </w:p>
        </w:tc>
        <w:tc>
          <w:tcPr>
            <w:tcW w:w="3419" w:type="dxa"/>
            <w:tcBorders>
              <w:top w:val="single" w:sz="4" w:space="0" w:color="000000"/>
              <w:left w:val="single" w:sz="4" w:space="0" w:color="000000"/>
              <w:bottom w:val="single" w:sz="4" w:space="0" w:color="000000"/>
              <w:right w:val="single" w:sz="4" w:space="0" w:color="000000"/>
            </w:tcBorders>
            <w:vAlign w:val="center"/>
          </w:tcPr>
          <w:p w14:paraId="438E1C12" w14:textId="63946776"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4370E8DB" w14:textId="77777777">
        <w:trPr>
          <w:trHeight w:val="758"/>
        </w:trPr>
        <w:tc>
          <w:tcPr>
            <w:tcW w:w="0" w:type="auto"/>
            <w:vMerge/>
            <w:tcBorders>
              <w:top w:val="nil"/>
              <w:left w:val="single" w:sz="4" w:space="0" w:color="000000"/>
              <w:bottom w:val="nil"/>
              <w:right w:val="single" w:sz="4" w:space="0" w:color="000000"/>
            </w:tcBorders>
          </w:tcPr>
          <w:p w14:paraId="17255A49"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0F055A45" w14:textId="77777777" w:rsidR="004A009C" w:rsidRPr="00F446DF" w:rsidRDefault="00B365B2">
            <w:pPr>
              <w:ind w:left="2"/>
              <w:jc w:val="both"/>
            </w:pPr>
            <w:r w:rsidRPr="00F446DF">
              <w:rPr>
                <w:rFonts w:ascii="Times New Roman" w:eastAsia="Times New Roman" w:hAnsi="Times New Roman" w:cs="Times New Roman"/>
                <w:sz w:val="20"/>
              </w:rPr>
              <w:t xml:space="preserve">Warunki ochrony środowiska i zdrowia ludzi, przyrody i krajobrazu </w:t>
            </w:r>
          </w:p>
        </w:tc>
        <w:tc>
          <w:tcPr>
            <w:tcW w:w="3419" w:type="dxa"/>
            <w:tcBorders>
              <w:top w:val="single" w:sz="4" w:space="0" w:color="000000"/>
              <w:left w:val="single" w:sz="4" w:space="0" w:color="000000"/>
              <w:bottom w:val="single" w:sz="4" w:space="0" w:color="000000"/>
              <w:right w:val="single" w:sz="4" w:space="0" w:color="000000"/>
            </w:tcBorders>
          </w:tcPr>
          <w:p w14:paraId="5B64C1F0" w14:textId="1660F408"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425166F4" w14:textId="77777777">
        <w:trPr>
          <w:trHeight w:val="1216"/>
        </w:trPr>
        <w:tc>
          <w:tcPr>
            <w:tcW w:w="0" w:type="auto"/>
            <w:vMerge/>
            <w:tcBorders>
              <w:top w:val="nil"/>
              <w:left w:val="single" w:sz="4" w:space="0" w:color="000000"/>
              <w:bottom w:val="single" w:sz="4" w:space="0" w:color="000000"/>
              <w:right w:val="single" w:sz="4" w:space="0" w:color="000000"/>
            </w:tcBorders>
          </w:tcPr>
          <w:p w14:paraId="5DA1FD23"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A7910EA" w14:textId="77777777" w:rsidR="004A009C" w:rsidRPr="00F446DF" w:rsidRDefault="00B365B2">
            <w:pPr>
              <w:ind w:left="2" w:right="51"/>
              <w:jc w:val="both"/>
            </w:pPr>
            <w:r w:rsidRPr="00F446DF">
              <w:rPr>
                <w:rFonts w:ascii="Times New Roman" w:eastAsia="Times New Roman" w:hAnsi="Times New Roman" w:cs="Times New Roman"/>
                <w:sz w:val="20"/>
              </w:rPr>
              <w:t xml:space="preserve">Wymagania dotyczące zabudowy i zagospodarowania terenu położonego na obszarach szczególnego zagrożenia powodzią </w:t>
            </w:r>
          </w:p>
        </w:tc>
        <w:tc>
          <w:tcPr>
            <w:tcW w:w="3419" w:type="dxa"/>
            <w:tcBorders>
              <w:top w:val="single" w:sz="4" w:space="0" w:color="000000"/>
              <w:left w:val="single" w:sz="4" w:space="0" w:color="000000"/>
              <w:bottom w:val="single" w:sz="4" w:space="0" w:color="000000"/>
              <w:right w:val="single" w:sz="4" w:space="0" w:color="000000"/>
            </w:tcBorders>
          </w:tcPr>
          <w:p w14:paraId="018ABBC0" w14:textId="337E0D08"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bl>
    <w:p w14:paraId="47E76CF1" w14:textId="77777777" w:rsidR="004A009C" w:rsidRDefault="00B365B2">
      <w:pPr>
        <w:spacing w:after="5"/>
      </w:pPr>
      <w:r>
        <w:rPr>
          <w:rFonts w:ascii="Times New Roman" w:eastAsia="Times New Roman" w:hAnsi="Times New Roman" w:cs="Times New Roman"/>
          <w:strike/>
          <w:sz w:val="20"/>
        </w:rPr>
        <w:t xml:space="preserve">                                                         </w:t>
      </w:r>
      <w:r>
        <w:rPr>
          <w:rFonts w:ascii="Times New Roman" w:eastAsia="Times New Roman" w:hAnsi="Times New Roman" w:cs="Times New Roman"/>
          <w:sz w:val="20"/>
        </w:rPr>
        <w:t xml:space="preserve"> </w:t>
      </w:r>
    </w:p>
    <w:p w14:paraId="144B37BD" w14:textId="77777777" w:rsidR="004A009C" w:rsidRDefault="00B365B2">
      <w:pPr>
        <w:numPr>
          <w:ilvl w:val="0"/>
          <w:numId w:val="2"/>
        </w:numPr>
        <w:spacing w:after="50" w:line="263" w:lineRule="auto"/>
        <w:ind w:hanging="281"/>
        <w:jc w:val="both"/>
      </w:pPr>
      <w:r>
        <w:rPr>
          <w:rFonts w:ascii="Times New Roman" w:eastAsia="Times New Roman" w:hAnsi="Times New Roman" w:cs="Times New Roman"/>
          <w:sz w:val="18"/>
        </w:rPr>
        <w:t xml:space="preserve">W szczególności obiekty generujące uciążliwości zapachowe, hałasowe, świetlne. </w:t>
      </w:r>
    </w:p>
    <w:p w14:paraId="24A60D80" w14:textId="77777777" w:rsidR="004A009C" w:rsidRDefault="00B365B2">
      <w:pPr>
        <w:numPr>
          <w:ilvl w:val="0"/>
          <w:numId w:val="2"/>
        </w:numPr>
        <w:spacing w:after="4" w:line="263" w:lineRule="auto"/>
        <w:ind w:hanging="281"/>
        <w:jc w:val="both"/>
      </w:pPr>
      <w:r>
        <w:rPr>
          <w:rFonts w:ascii="Times New Roman" w:eastAsia="Times New Roman" w:hAnsi="Times New Roman" w:cs="Times New Roman"/>
          <w:sz w:val="18"/>
        </w:rPr>
        <w:t xml:space="preserve">Akty prawne (rozporządzenia, zarządzenia, uchwały, decyzje) w sprawie: </w:t>
      </w:r>
    </w:p>
    <w:p w14:paraId="1160B80D"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dokonania rezerwacji obszaru inwestycji (Centralny Port Komunikacyjny), </w:t>
      </w:r>
    </w:p>
    <w:p w14:paraId="46818850"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lokalizacji inwestycji mieszkaniowej lub inwestycji towarzyszącej, </w:t>
      </w:r>
    </w:p>
    <w:p w14:paraId="72574ABD"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19DB2129"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ustanowienia strefy ochronnej terenu ochrony bezpośredniej i terenu ochrony pośredniej ujęcia wody, </w:t>
      </w:r>
    </w:p>
    <w:p w14:paraId="0693D5F9"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wyznaczenia obszarów cichych w aglomeracji lub obszarów cichych poza aglomeracją, </w:t>
      </w:r>
    </w:p>
    <w:p w14:paraId="70846E25"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utworzenia obszaru ograniczonego użytkowania, </w:t>
      </w:r>
    </w:p>
    <w:p w14:paraId="23828697"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uznania zabytku za pomnik historii, </w:t>
      </w:r>
    </w:p>
    <w:p w14:paraId="61722027"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określenia granic obszaru Pomnika Zagłady i jego strefy ochronnej, utworzenia parku kulturowego, </w:t>
      </w:r>
    </w:p>
    <w:p w14:paraId="72485514"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ustalenia zasad i warunków sytuowania obiektów małej architektury, tablic reklamowych i urządzeń reklamowych oraz ogrodzeń, ich gabarytów, standardów jakościowych oraz rodzajów materiałów budowlanych. </w:t>
      </w:r>
    </w:p>
    <w:p w14:paraId="5BF4C318" w14:textId="77777777" w:rsidR="004A009C" w:rsidRDefault="004A009C">
      <w:pPr>
        <w:spacing w:after="0"/>
        <w:ind w:left="-1020" w:right="108"/>
      </w:pPr>
    </w:p>
    <w:tbl>
      <w:tblPr>
        <w:tblStyle w:val="TableGrid"/>
        <w:tblW w:w="9649" w:type="dxa"/>
        <w:tblInd w:w="109" w:type="dxa"/>
        <w:tblCellMar>
          <w:top w:w="47" w:type="dxa"/>
          <w:left w:w="107" w:type="dxa"/>
          <w:right w:w="56" w:type="dxa"/>
        </w:tblCellMar>
        <w:tblLook w:val="04A0" w:firstRow="1" w:lastRow="0" w:firstColumn="1" w:lastColumn="0" w:noHBand="0" w:noVBand="1"/>
      </w:tblPr>
      <w:tblGrid>
        <w:gridCol w:w="2809"/>
        <w:gridCol w:w="3419"/>
        <w:gridCol w:w="3421"/>
      </w:tblGrid>
      <w:tr w:rsidR="004A009C" w14:paraId="2192603A" w14:textId="77777777">
        <w:trPr>
          <w:trHeight w:val="988"/>
        </w:trPr>
        <w:tc>
          <w:tcPr>
            <w:tcW w:w="2809" w:type="dxa"/>
            <w:vMerge w:val="restart"/>
            <w:tcBorders>
              <w:top w:val="single" w:sz="4" w:space="0" w:color="000000"/>
              <w:left w:val="single" w:sz="4" w:space="0" w:color="000000"/>
              <w:bottom w:val="nil"/>
              <w:right w:val="single" w:sz="4" w:space="0" w:color="000000"/>
            </w:tcBorders>
            <w:shd w:val="clear" w:color="auto" w:fill="F3F3F3"/>
          </w:tcPr>
          <w:p w14:paraId="57ED6009" w14:textId="77777777" w:rsidR="004A009C" w:rsidRPr="00377BF6" w:rsidRDefault="004A009C">
            <w:pPr>
              <w:rPr>
                <w:highlight w:val="yellow"/>
              </w:rPr>
            </w:pPr>
          </w:p>
        </w:tc>
        <w:tc>
          <w:tcPr>
            <w:tcW w:w="3419" w:type="dxa"/>
            <w:tcBorders>
              <w:top w:val="single" w:sz="4" w:space="0" w:color="000000"/>
              <w:left w:val="single" w:sz="4" w:space="0" w:color="000000"/>
              <w:bottom w:val="single" w:sz="4" w:space="0" w:color="000000"/>
              <w:right w:val="single" w:sz="4" w:space="0" w:color="000000"/>
            </w:tcBorders>
            <w:vAlign w:val="center"/>
          </w:tcPr>
          <w:p w14:paraId="488A1DD3" w14:textId="77777777" w:rsidR="004A009C" w:rsidRPr="00F446DF" w:rsidRDefault="00B365B2">
            <w:pPr>
              <w:ind w:left="2" w:right="51"/>
              <w:jc w:val="both"/>
            </w:pPr>
            <w:r w:rsidRPr="00F446DF">
              <w:rPr>
                <w:rFonts w:ascii="Times New Roman" w:eastAsia="Times New Roman" w:hAnsi="Times New Roman" w:cs="Times New Roman"/>
                <w:sz w:val="20"/>
              </w:rPr>
              <w:t xml:space="preserve">Warunki ochrony dziedzictwa kulturowego i zabytków oraz dóbr kultury współczesnej </w:t>
            </w:r>
          </w:p>
        </w:tc>
        <w:tc>
          <w:tcPr>
            <w:tcW w:w="3421" w:type="dxa"/>
            <w:tcBorders>
              <w:top w:val="single" w:sz="4" w:space="0" w:color="000000"/>
              <w:left w:val="single" w:sz="4" w:space="0" w:color="000000"/>
              <w:bottom w:val="single" w:sz="4" w:space="0" w:color="000000"/>
              <w:right w:val="single" w:sz="4" w:space="0" w:color="000000"/>
            </w:tcBorders>
          </w:tcPr>
          <w:p w14:paraId="75A6F859" w14:textId="32CE6264"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6EF8FC11" w14:textId="77777777">
        <w:trPr>
          <w:trHeight w:val="1216"/>
        </w:trPr>
        <w:tc>
          <w:tcPr>
            <w:tcW w:w="0" w:type="auto"/>
            <w:vMerge/>
            <w:tcBorders>
              <w:top w:val="nil"/>
              <w:left w:val="single" w:sz="4" w:space="0" w:color="000000"/>
              <w:bottom w:val="nil"/>
              <w:right w:val="single" w:sz="4" w:space="0" w:color="000000"/>
            </w:tcBorders>
          </w:tcPr>
          <w:p w14:paraId="07824825" w14:textId="77777777" w:rsidR="004A009C" w:rsidRPr="00377BF6" w:rsidRDefault="004A009C">
            <w:pPr>
              <w:rPr>
                <w:highlight w:val="yellow"/>
              </w:rPr>
            </w:pPr>
          </w:p>
        </w:tc>
        <w:tc>
          <w:tcPr>
            <w:tcW w:w="3419" w:type="dxa"/>
            <w:tcBorders>
              <w:top w:val="single" w:sz="4" w:space="0" w:color="000000"/>
              <w:left w:val="single" w:sz="4" w:space="0" w:color="000000"/>
              <w:bottom w:val="single" w:sz="4" w:space="0" w:color="000000"/>
              <w:right w:val="single" w:sz="4" w:space="0" w:color="000000"/>
            </w:tcBorders>
            <w:vAlign w:val="center"/>
          </w:tcPr>
          <w:p w14:paraId="2C167A53" w14:textId="77777777" w:rsidR="004A009C" w:rsidRPr="00F446DF" w:rsidRDefault="00B365B2">
            <w:pPr>
              <w:ind w:left="2" w:right="51"/>
              <w:jc w:val="both"/>
            </w:pPr>
            <w:r w:rsidRPr="00F446DF">
              <w:rPr>
                <w:rFonts w:ascii="Times New Roman" w:eastAsia="Times New Roman" w:hAnsi="Times New Roman" w:cs="Times New Roman"/>
                <w:sz w:val="20"/>
              </w:rPr>
              <w:t xml:space="preserve">Wymagania dotyczące ochrony innych terenów lub obiektów podlegających ochronie na podstawie przepisów odrębnych </w:t>
            </w:r>
          </w:p>
        </w:tc>
        <w:tc>
          <w:tcPr>
            <w:tcW w:w="3421" w:type="dxa"/>
            <w:tcBorders>
              <w:top w:val="single" w:sz="4" w:space="0" w:color="000000"/>
              <w:left w:val="single" w:sz="4" w:space="0" w:color="000000"/>
              <w:bottom w:val="single" w:sz="4" w:space="0" w:color="000000"/>
              <w:right w:val="single" w:sz="4" w:space="0" w:color="000000"/>
            </w:tcBorders>
          </w:tcPr>
          <w:p w14:paraId="755F958B" w14:textId="7572FDA3"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5DFDD717" w14:textId="77777777">
        <w:trPr>
          <w:trHeight w:val="760"/>
        </w:trPr>
        <w:tc>
          <w:tcPr>
            <w:tcW w:w="2809" w:type="dxa"/>
            <w:vMerge w:val="restart"/>
            <w:tcBorders>
              <w:top w:val="nil"/>
              <w:left w:val="single" w:sz="4" w:space="0" w:color="000000"/>
              <w:bottom w:val="single" w:sz="4" w:space="0" w:color="000000"/>
              <w:right w:val="single" w:sz="4" w:space="0" w:color="000000"/>
            </w:tcBorders>
            <w:shd w:val="clear" w:color="auto" w:fill="F3F3F3"/>
          </w:tcPr>
          <w:p w14:paraId="60EAFAB4" w14:textId="77777777" w:rsidR="004A009C" w:rsidRPr="00377BF6" w:rsidRDefault="004A009C">
            <w:pPr>
              <w:rPr>
                <w:highlight w:val="yellow"/>
              </w:rPr>
            </w:pPr>
          </w:p>
        </w:tc>
        <w:tc>
          <w:tcPr>
            <w:tcW w:w="3419" w:type="dxa"/>
            <w:tcBorders>
              <w:top w:val="single" w:sz="4" w:space="0" w:color="000000"/>
              <w:left w:val="single" w:sz="4" w:space="0" w:color="000000"/>
              <w:bottom w:val="single" w:sz="4" w:space="0" w:color="000000"/>
              <w:right w:val="single" w:sz="4" w:space="0" w:color="000000"/>
            </w:tcBorders>
            <w:vAlign w:val="center"/>
          </w:tcPr>
          <w:p w14:paraId="31A0C633" w14:textId="77777777" w:rsidR="004A009C" w:rsidRPr="00F446DF" w:rsidRDefault="00B365B2">
            <w:pPr>
              <w:ind w:left="2"/>
              <w:jc w:val="both"/>
            </w:pPr>
            <w:r w:rsidRPr="00F446DF">
              <w:rPr>
                <w:rFonts w:ascii="Times New Roman" w:eastAsia="Times New Roman" w:hAnsi="Times New Roman" w:cs="Times New Roman"/>
                <w:sz w:val="20"/>
              </w:rPr>
              <w:t xml:space="preserve">Warunki i szczegółowe zasady obsługi w zakresie komunikacji </w:t>
            </w:r>
          </w:p>
        </w:tc>
        <w:tc>
          <w:tcPr>
            <w:tcW w:w="3421" w:type="dxa"/>
            <w:tcBorders>
              <w:top w:val="single" w:sz="4" w:space="0" w:color="000000"/>
              <w:left w:val="single" w:sz="4" w:space="0" w:color="000000"/>
              <w:bottom w:val="single" w:sz="4" w:space="0" w:color="000000"/>
              <w:right w:val="single" w:sz="4" w:space="0" w:color="000000"/>
            </w:tcBorders>
          </w:tcPr>
          <w:p w14:paraId="7FE06133" w14:textId="628DF44B"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7560AF3E" w14:textId="77777777">
        <w:trPr>
          <w:trHeight w:val="758"/>
        </w:trPr>
        <w:tc>
          <w:tcPr>
            <w:tcW w:w="0" w:type="auto"/>
            <w:vMerge/>
            <w:tcBorders>
              <w:top w:val="nil"/>
              <w:left w:val="single" w:sz="4" w:space="0" w:color="000000"/>
              <w:bottom w:val="single" w:sz="4" w:space="0" w:color="000000"/>
              <w:right w:val="single" w:sz="4" w:space="0" w:color="000000"/>
            </w:tcBorders>
          </w:tcPr>
          <w:p w14:paraId="6E31670B" w14:textId="77777777" w:rsidR="004A009C" w:rsidRPr="00377BF6" w:rsidRDefault="004A009C">
            <w:pPr>
              <w:rPr>
                <w:highlight w:val="yellow"/>
              </w:rPr>
            </w:pPr>
          </w:p>
        </w:tc>
        <w:tc>
          <w:tcPr>
            <w:tcW w:w="3419" w:type="dxa"/>
            <w:tcBorders>
              <w:top w:val="single" w:sz="4" w:space="0" w:color="000000"/>
              <w:left w:val="single" w:sz="4" w:space="0" w:color="000000"/>
              <w:bottom w:val="single" w:sz="4" w:space="0" w:color="000000"/>
              <w:right w:val="single" w:sz="4" w:space="0" w:color="000000"/>
            </w:tcBorders>
            <w:vAlign w:val="center"/>
          </w:tcPr>
          <w:p w14:paraId="784AFB17" w14:textId="77777777" w:rsidR="004A009C" w:rsidRPr="00F446DF" w:rsidRDefault="00B365B2">
            <w:pPr>
              <w:ind w:left="2"/>
              <w:jc w:val="both"/>
            </w:pPr>
            <w:r w:rsidRPr="00F446DF">
              <w:rPr>
                <w:rFonts w:ascii="Times New Roman" w:eastAsia="Times New Roman" w:hAnsi="Times New Roman" w:cs="Times New Roman"/>
                <w:sz w:val="20"/>
              </w:rPr>
              <w:t xml:space="preserve">Warunki i szczegółowe zasady obsługi w zakresie infrastruktury technicznej </w:t>
            </w:r>
          </w:p>
        </w:tc>
        <w:tc>
          <w:tcPr>
            <w:tcW w:w="3421" w:type="dxa"/>
            <w:tcBorders>
              <w:top w:val="single" w:sz="4" w:space="0" w:color="000000"/>
              <w:left w:val="single" w:sz="4" w:space="0" w:color="000000"/>
              <w:bottom w:val="single" w:sz="4" w:space="0" w:color="000000"/>
              <w:right w:val="single" w:sz="4" w:space="0" w:color="000000"/>
            </w:tcBorders>
          </w:tcPr>
          <w:p w14:paraId="6F8FA959" w14:textId="41BBE230"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7A2A79C0" w14:textId="77777777">
        <w:trPr>
          <w:trHeight w:val="529"/>
        </w:trPr>
        <w:tc>
          <w:tcPr>
            <w:tcW w:w="280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192FDDBA" w14:textId="77777777" w:rsidR="004A009C" w:rsidRPr="00F446DF" w:rsidRDefault="00B365B2">
            <w:r w:rsidRPr="00F446DF">
              <w:rPr>
                <w:rFonts w:ascii="Times New Roman" w:eastAsia="Times New Roman" w:hAnsi="Times New Roman" w:cs="Times New Roman"/>
                <w:sz w:val="20"/>
              </w:rPr>
              <w:t xml:space="preserve">Ustalenia obowiązującego miejscowego planu zagospodarowania </w:t>
            </w:r>
          </w:p>
          <w:p w14:paraId="5C59FA51" w14:textId="77777777" w:rsidR="004A009C" w:rsidRPr="00F446DF" w:rsidRDefault="00B365B2">
            <w:pPr>
              <w:ind w:right="214"/>
            </w:pPr>
            <w:r w:rsidRPr="00F446DF">
              <w:rPr>
                <w:rFonts w:ascii="Times New Roman" w:eastAsia="Times New Roman" w:hAnsi="Times New Roman" w:cs="Times New Roman"/>
                <w:sz w:val="20"/>
              </w:rPr>
              <w:t>przestrzennego dla działek lub ich fragmentów, znajdujących się w odległości do 100 m od granicy terenu objętego przedsięwzięciem deweloperskim lub zadaniem inwestycyjnym</w:t>
            </w:r>
            <w:r w:rsidRPr="00F446DF">
              <w:rPr>
                <w:rFonts w:ascii="Times New Roman" w:eastAsia="Times New Roman" w:hAnsi="Times New Roman" w:cs="Times New Roman"/>
                <w:sz w:val="20"/>
                <w:vertAlign w:val="superscript"/>
              </w:rPr>
              <w:footnoteReference w:id="3"/>
            </w:r>
            <w:r w:rsidRPr="00F446DF">
              <w:rPr>
                <w:rFonts w:ascii="Times New Roman" w:eastAsia="Times New Roman" w:hAnsi="Times New Roman" w:cs="Times New Roman"/>
                <w:sz w:val="20"/>
                <w:vertAlign w:val="superscript"/>
              </w:rPr>
              <w:t>)</w:t>
            </w:r>
            <w:r w:rsidRPr="00F446DF">
              <w:rPr>
                <w:rFonts w:ascii="Times New Roman" w:eastAsia="Times New Roman" w:hAnsi="Times New Roman" w:cs="Times New Roman"/>
                <w:sz w:val="20"/>
              </w:rPr>
              <w:t xml:space="preserve"> </w:t>
            </w:r>
          </w:p>
        </w:tc>
        <w:tc>
          <w:tcPr>
            <w:tcW w:w="3419" w:type="dxa"/>
            <w:tcBorders>
              <w:top w:val="single" w:sz="4" w:space="0" w:color="000000"/>
              <w:left w:val="single" w:sz="4" w:space="0" w:color="000000"/>
              <w:bottom w:val="single" w:sz="4" w:space="0" w:color="000000"/>
              <w:right w:val="single" w:sz="4" w:space="0" w:color="000000"/>
            </w:tcBorders>
            <w:vAlign w:val="center"/>
          </w:tcPr>
          <w:p w14:paraId="02E4D5CA" w14:textId="77777777" w:rsidR="004A009C" w:rsidRPr="00F446DF" w:rsidRDefault="00B365B2">
            <w:pPr>
              <w:ind w:left="2"/>
            </w:pPr>
            <w:r w:rsidRPr="00F446DF">
              <w:rPr>
                <w:rFonts w:ascii="Times New Roman" w:eastAsia="Times New Roman" w:hAnsi="Times New Roman" w:cs="Times New Roman"/>
                <w:sz w:val="20"/>
              </w:rPr>
              <w:t xml:space="preserve">Przeznaczenie terenu </w:t>
            </w:r>
          </w:p>
        </w:tc>
        <w:tc>
          <w:tcPr>
            <w:tcW w:w="3421" w:type="dxa"/>
            <w:tcBorders>
              <w:top w:val="single" w:sz="4" w:space="0" w:color="000000"/>
              <w:left w:val="single" w:sz="4" w:space="0" w:color="000000"/>
              <w:bottom w:val="single" w:sz="4" w:space="0" w:color="000000"/>
              <w:right w:val="single" w:sz="4" w:space="0" w:color="000000"/>
            </w:tcBorders>
            <w:vAlign w:val="center"/>
          </w:tcPr>
          <w:p w14:paraId="1FEA4A20" w14:textId="5D095353"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6004D55A" w14:textId="77777777">
        <w:trPr>
          <w:trHeight w:val="758"/>
        </w:trPr>
        <w:tc>
          <w:tcPr>
            <w:tcW w:w="0" w:type="auto"/>
            <w:vMerge/>
            <w:tcBorders>
              <w:top w:val="nil"/>
              <w:left w:val="single" w:sz="4" w:space="0" w:color="000000"/>
              <w:bottom w:val="nil"/>
              <w:right w:val="single" w:sz="4" w:space="0" w:color="000000"/>
            </w:tcBorders>
          </w:tcPr>
          <w:p w14:paraId="4A8DC092" w14:textId="77777777" w:rsidR="004A009C" w:rsidRPr="00F446DF"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3B218AC3" w14:textId="77777777" w:rsidR="004A009C" w:rsidRPr="00F446DF" w:rsidRDefault="00B365B2">
            <w:pPr>
              <w:ind w:left="2"/>
            </w:pPr>
            <w:r w:rsidRPr="00F446DF">
              <w:rPr>
                <w:rFonts w:ascii="Times New Roman" w:eastAsia="Times New Roman" w:hAnsi="Times New Roman" w:cs="Times New Roman"/>
                <w:sz w:val="20"/>
              </w:rPr>
              <w:t xml:space="preserve">Maksymalna i minimalna intensywność zabudowy </w:t>
            </w:r>
          </w:p>
        </w:tc>
        <w:tc>
          <w:tcPr>
            <w:tcW w:w="3421" w:type="dxa"/>
            <w:tcBorders>
              <w:top w:val="single" w:sz="4" w:space="0" w:color="000000"/>
              <w:left w:val="single" w:sz="4" w:space="0" w:color="000000"/>
              <w:bottom w:val="single" w:sz="4" w:space="0" w:color="000000"/>
              <w:right w:val="single" w:sz="4" w:space="0" w:color="000000"/>
            </w:tcBorders>
          </w:tcPr>
          <w:p w14:paraId="10D53FFF" w14:textId="1055CC00"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3602F8F7" w14:textId="77777777">
        <w:trPr>
          <w:trHeight w:val="528"/>
        </w:trPr>
        <w:tc>
          <w:tcPr>
            <w:tcW w:w="0" w:type="auto"/>
            <w:vMerge/>
            <w:tcBorders>
              <w:top w:val="nil"/>
              <w:left w:val="single" w:sz="4" w:space="0" w:color="000000"/>
              <w:bottom w:val="nil"/>
              <w:right w:val="single" w:sz="4" w:space="0" w:color="000000"/>
            </w:tcBorders>
          </w:tcPr>
          <w:p w14:paraId="3479D4FB" w14:textId="77777777" w:rsidR="004A009C" w:rsidRPr="00F446DF"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40EC819E" w14:textId="77777777" w:rsidR="004A009C" w:rsidRPr="00217D0B" w:rsidRDefault="00B365B2">
            <w:pPr>
              <w:ind w:left="2"/>
              <w:rPr>
                <w:sz w:val="24"/>
                <w:szCs w:val="24"/>
              </w:rPr>
            </w:pPr>
            <w:r w:rsidRPr="00217D0B">
              <w:rPr>
                <w:rFonts w:ascii="Times New Roman" w:eastAsia="Times New Roman" w:hAnsi="Times New Roman" w:cs="Times New Roman"/>
                <w:sz w:val="24"/>
                <w:szCs w:val="24"/>
              </w:rPr>
              <w:t xml:space="preserve">Maksymalna wysokość zabudowy </w:t>
            </w:r>
          </w:p>
        </w:tc>
        <w:tc>
          <w:tcPr>
            <w:tcW w:w="3421" w:type="dxa"/>
            <w:tcBorders>
              <w:top w:val="single" w:sz="4" w:space="0" w:color="000000"/>
              <w:left w:val="single" w:sz="4" w:space="0" w:color="000000"/>
              <w:bottom w:val="single" w:sz="4" w:space="0" w:color="000000"/>
              <w:right w:val="single" w:sz="4" w:space="0" w:color="000000"/>
            </w:tcBorders>
            <w:vAlign w:val="center"/>
          </w:tcPr>
          <w:p w14:paraId="4C355B78" w14:textId="308C49E4"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281FF96E" w14:textId="77777777">
        <w:trPr>
          <w:trHeight w:val="758"/>
        </w:trPr>
        <w:tc>
          <w:tcPr>
            <w:tcW w:w="0" w:type="auto"/>
            <w:vMerge/>
            <w:tcBorders>
              <w:top w:val="nil"/>
              <w:left w:val="single" w:sz="4" w:space="0" w:color="000000"/>
              <w:bottom w:val="nil"/>
              <w:right w:val="single" w:sz="4" w:space="0" w:color="000000"/>
            </w:tcBorders>
          </w:tcPr>
          <w:p w14:paraId="2B15E490" w14:textId="77777777" w:rsidR="004A009C" w:rsidRPr="00F446DF"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01EE3112" w14:textId="77777777" w:rsidR="004A009C" w:rsidRPr="00217D0B" w:rsidRDefault="00B365B2">
            <w:pPr>
              <w:ind w:left="2"/>
              <w:jc w:val="both"/>
              <w:rPr>
                <w:sz w:val="24"/>
                <w:szCs w:val="24"/>
              </w:rPr>
            </w:pPr>
            <w:r w:rsidRPr="00217D0B">
              <w:rPr>
                <w:rFonts w:ascii="Times New Roman" w:eastAsia="Times New Roman" w:hAnsi="Times New Roman" w:cs="Times New Roman"/>
                <w:sz w:val="24"/>
                <w:szCs w:val="24"/>
              </w:rPr>
              <w:t xml:space="preserve">Minimalny udział procentowy powierzchni biologicznie czynnej </w:t>
            </w:r>
          </w:p>
        </w:tc>
        <w:tc>
          <w:tcPr>
            <w:tcW w:w="3421" w:type="dxa"/>
            <w:tcBorders>
              <w:top w:val="single" w:sz="4" w:space="0" w:color="000000"/>
              <w:left w:val="single" w:sz="4" w:space="0" w:color="000000"/>
              <w:bottom w:val="single" w:sz="4" w:space="0" w:color="000000"/>
              <w:right w:val="single" w:sz="4" w:space="0" w:color="000000"/>
            </w:tcBorders>
          </w:tcPr>
          <w:p w14:paraId="29DD4154" w14:textId="19791DDA" w:rsidR="004A009C" w:rsidRPr="00C66EC0" w:rsidRDefault="00B365B2">
            <w:pPr>
              <w:ind w:left="4"/>
              <w:rPr>
                <w:sz w:val="20"/>
                <w:szCs w:val="20"/>
              </w:rPr>
            </w:pPr>
            <w:r w:rsidRPr="00C66EC0">
              <w:rPr>
                <w:rFonts w:ascii="Times New Roman" w:eastAsia="Times New Roman" w:hAnsi="Times New Roman" w:cs="Times New Roman"/>
                <w:sz w:val="20"/>
                <w:szCs w:val="20"/>
              </w:rPr>
              <w:t xml:space="preserve"> </w:t>
            </w:r>
            <w:r w:rsidR="00C66EC0">
              <w:rPr>
                <w:rFonts w:ascii="Times New Roman" w:eastAsia="Times New Roman" w:hAnsi="Times New Roman" w:cs="Times New Roman"/>
                <w:sz w:val="20"/>
                <w:szCs w:val="20"/>
              </w:rPr>
              <w:t>Brak planu</w:t>
            </w:r>
          </w:p>
        </w:tc>
      </w:tr>
      <w:tr w:rsidR="004A009C" w14:paraId="3A28F8D4" w14:textId="77777777">
        <w:trPr>
          <w:trHeight w:val="528"/>
        </w:trPr>
        <w:tc>
          <w:tcPr>
            <w:tcW w:w="0" w:type="auto"/>
            <w:vMerge/>
            <w:tcBorders>
              <w:top w:val="nil"/>
              <w:left w:val="single" w:sz="4" w:space="0" w:color="000000"/>
              <w:bottom w:val="single" w:sz="4" w:space="0" w:color="000000"/>
              <w:right w:val="single" w:sz="4" w:space="0" w:color="000000"/>
            </w:tcBorders>
          </w:tcPr>
          <w:p w14:paraId="6DB0A722" w14:textId="77777777" w:rsidR="004A009C" w:rsidRPr="00F446DF"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D08A9B5" w14:textId="77777777" w:rsidR="004A009C" w:rsidRPr="00C66EC0" w:rsidRDefault="00B365B2">
            <w:pPr>
              <w:ind w:left="2"/>
              <w:rPr>
                <w:sz w:val="20"/>
                <w:szCs w:val="20"/>
              </w:rPr>
            </w:pPr>
            <w:r w:rsidRPr="00C66EC0">
              <w:rPr>
                <w:rFonts w:ascii="Times New Roman" w:eastAsia="Times New Roman" w:hAnsi="Times New Roman" w:cs="Times New Roman"/>
                <w:sz w:val="20"/>
                <w:szCs w:val="20"/>
              </w:rPr>
              <w:t xml:space="preserve">Minimalna liczba miejsc do parkowania </w:t>
            </w:r>
          </w:p>
        </w:tc>
        <w:tc>
          <w:tcPr>
            <w:tcW w:w="3421" w:type="dxa"/>
            <w:tcBorders>
              <w:top w:val="single" w:sz="4" w:space="0" w:color="000000"/>
              <w:left w:val="single" w:sz="4" w:space="0" w:color="000000"/>
              <w:bottom w:val="single" w:sz="4" w:space="0" w:color="000000"/>
              <w:right w:val="single" w:sz="4" w:space="0" w:color="000000"/>
            </w:tcBorders>
            <w:vAlign w:val="center"/>
          </w:tcPr>
          <w:p w14:paraId="40633D06" w14:textId="468EE6B4" w:rsidR="004A009C" w:rsidRPr="00C66EC0" w:rsidRDefault="00C66EC0">
            <w:pPr>
              <w:ind w:left="4"/>
              <w:rPr>
                <w:sz w:val="20"/>
                <w:szCs w:val="20"/>
              </w:rPr>
            </w:pPr>
            <w:r>
              <w:rPr>
                <w:rFonts w:ascii="Times New Roman" w:eastAsia="Times New Roman" w:hAnsi="Times New Roman" w:cs="Times New Roman"/>
                <w:sz w:val="20"/>
                <w:szCs w:val="20"/>
              </w:rPr>
              <w:t>Brak planu</w:t>
            </w:r>
          </w:p>
        </w:tc>
      </w:tr>
      <w:tr w:rsidR="004A009C" w:rsidRPr="001E358D" w14:paraId="3F489051" w14:textId="77777777">
        <w:trPr>
          <w:trHeight w:val="1697"/>
        </w:trPr>
        <w:tc>
          <w:tcPr>
            <w:tcW w:w="280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0DEBB33" w14:textId="77777777" w:rsidR="004A009C" w:rsidRPr="00F446DF" w:rsidRDefault="00B365B2">
            <w:pPr>
              <w:ind w:right="188"/>
            </w:pPr>
            <w:r w:rsidRPr="00F446DF">
              <w:rPr>
                <w:rFonts w:ascii="Times New Roman" w:eastAsia="Times New Roman" w:hAnsi="Times New Roman" w:cs="Times New Roman"/>
                <w:sz w:val="20"/>
              </w:rPr>
              <w:t xml:space="preserve">Ustalenia decyzji o warunkach zabudowy albo decyzji o ustaleniu lokalizacji inwestycji celu publicznego dla terenu objętego przedsięwzięciem deweloperskim lub zadaniem inwestycyjnym w przypadku braku miejscowego planu zagospodarowania przestrzennego </w:t>
            </w:r>
          </w:p>
        </w:tc>
        <w:tc>
          <w:tcPr>
            <w:tcW w:w="3419" w:type="dxa"/>
            <w:tcBorders>
              <w:top w:val="single" w:sz="4" w:space="0" w:color="000000"/>
              <w:left w:val="single" w:sz="4" w:space="0" w:color="000000"/>
              <w:bottom w:val="single" w:sz="4" w:space="0" w:color="000000"/>
              <w:right w:val="single" w:sz="4" w:space="0" w:color="000000"/>
            </w:tcBorders>
          </w:tcPr>
          <w:p w14:paraId="0BC079BC" w14:textId="77777777" w:rsidR="004A009C" w:rsidRPr="00C66EC0" w:rsidRDefault="00B365B2">
            <w:pPr>
              <w:spacing w:after="126"/>
              <w:ind w:left="2"/>
              <w:rPr>
                <w:sz w:val="20"/>
                <w:szCs w:val="20"/>
              </w:rPr>
            </w:pPr>
            <w:r w:rsidRPr="00C66EC0">
              <w:rPr>
                <w:rFonts w:ascii="Times New Roman" w:eastAsia="Times New Roman" w:hAnsi="Times New Roman" w:cs="Times New Roman"/>
                <w:sz w:val="20"/>
                <w:szCs w:val="20"/>
              </w:rPr>
              <w:t xml:space="preserve"> </w:t>
            </w:r>
          </w:p>
          <w:p w14:paraId="720ACB7B" w14:textId="77777777" w:rsidR="004A009C" w:rsidRPr="00C66EC0" w:rsidRDefault="00B365B2">
            <w:pPr>
              <w:spacing w:after="123"/>
              <w:ind w:left="2"/>
              <w:rPr>
                <w:sz w:val="20"/>
                <w:szCs w:val="20"/>
              </w:rPr>
            </w:pPr>
            <w:r w:rsidRPr="00C66EC0">
              <w:rPr>
                <w:rFonts w:ascii="Times New Roman" w:eastAsia="Times New Roman" w:hAnsi="Times New Roman" w:cs="Times New Roman"/>
                <w:sz w:val="20"/>
                <w:szCs w:val="20"/>
              </w:rPr>
              <w:t xml:space="preserve"> </w:t>
            </w:r>
          </w:p>
          <w:p w14:paraId="232D11A4" w14:textId="77777777" w:rsidR="004A009C" w:rsidRPr="00C66EC0" w:rsidRDefault="00B365B2">
            <w:pPr>
              <w:ind w:left="2"/>
              <w:rPr>
                <w:sz w:val="20"/>
                <w:szCs w:val="20"/>
              </w:rPr>
            </w:pPr>
            <w:r w:rsidRPr="00C66EC0">
              <w:rPr>
                <w:rFonts w:ascii="Times New Roman" w:eastAsia="Times New Roman" w:hAnsi="Times New Roman" w:cs="Times New Roman"/>
                <w:sz w:val="20"/>
                <w:szCs w:val="20"/>
              </w:rPr>
              <w:t xml:space="preserve">Funkcja zabudowy i zagospodarowania terenu </w:t>
            </w:r>
          </w:p>
        </w:tc>
        <w:tc>
          <w:tcPr>
            <w:tcW w:w="3421" w:type="dxa"/>
            <w:tcBorders>
              <w:top w:val="single" w:sz="4" w:space="0" w:color="000000"/>
              <w:left w:val="single" w:sz="4" w:space="0" w:color="000000"/>
              <w:bottom w:val="single" w:sz="4" w:space="0" w:color="000000"/>
              <w:right w:val="single" w:sz="4" w:space="0" w:color="000000"/>
            </w:tcBorders>
          </w:tcPr>
          <w:p w14:paraId="492C305F" w14:textId="1B2675A9" w:rsidR="004A009C" w:rsidRPr="00C66EC0" w:rsidRDefault="00793768" w:rsidP="00217D0B">
            <w:pPr>
              <w:spacing w:after="126"/>
              <w:ind w:left="4"/>
              <w:rPr>
                <w:color w:val="auto"/>
                <w:sz w:val="20"/>
                <w:szCs w:val="20"/>
              </w:rPr>
            </w:pPr>
            <w:r w:rsidRPr="00C66EC0">
              <w:rPr>
                <w:rFonts w:ascii="Times New Roman" w:eastAsia="Times New Roman" w:hAnsi="Times New Roman" w:cs="Times New Roman"/>
                <w:color w:val="auto"/>
                <w:sz w:val="20"/>
                <w:szCs w:val="20"/>
              </w:rPr>
              <w:t>4</w:t>
            </w:r>
            <w:r w:rsidR="00241232" w:rsidRPr="00C66EC0">
              <w:rPr>
                <w:rFonts w:ascii="Times New Roman" w:eastAsia="Times New Roman" w:hAnsi="Times New Roman" w:cs="Times New Roman"/>
                <w:color w:val="auto"/>
                <w:sz w:val="20"/>
                <w:szCs w:val="20"/>
              </w:rPr>
              <w:t xml:space="preserve"> budynki mieszkalne jednorodzinne </w:t>
            </w:r>
            <w:r w:rsidRPr="00C66EC0">
              <w:rPr>
                <w:rFonts w:ascii="Times New Roman" w:eastAsia="Times New Roman" w:hAnsi="Times New Roman" w:cs="Times New Roman"/>
                <w:color w:val="auto"/>
                <w:sz w:val="20"/>
                <w:szCs w:val="20"/>
              </w:rPr>
              <w:t>w zabudowie bli</w:t>
            </w:r>
            <w:r w:rsidR="00217D0B" w:rsidRPr="00C66EC0">
              <w:rPr>
                <w:rFonts w:ascii="Times New Roman" w:eastAsia="Times New Roman" w:hAnsi="Times New Roman" w:cs="Times New Roman"/>
                <w:color w:val="auto"/>
                <w:sz w:val="20"/>
                <w:szCs w:val="20"/>
              </w:rPr>
              <w:t>źniaczej</w:t>
            </w:r>
            <w:r w:rsidRPr="00C66EC0">
              <w:rPr>
                <w:rFonts w:ascii="Times New Roman" w:eastAsia="Times New Roman" w:hAnsi="Times New Roman" w:cs="Times New Roman"/>
                <w:color w:val="auto"/>
                <w:sz w:val="20"/>
                <w:szCs w:val="20"/>
              </w:rPr>
              <w:t xml:space="preserve"> </w:t>
            </w:r>
            <w:r w:rsidR="00333994">
              <w:rPr>
                <w:rFonts w:ascii="Times New Roman" w:eastAsia="Times New Roman" w:hAnsi="Times New Roman" w:cs="Times New Roman"/>
                <w:color w:val="auto"/>
                <w:sz w:val="20"/>
                <w:szCs w:val="20"/>
              </w:rPr>
              <w:t xml:space="preserve">oraz 2 budynki mieszkalne jednorodzinne wolnostojące </w:t>
            </w:r>
            <w:r w:rsidR="00333994" w:rsidRPr="00C66EC0">
              <w:rPr>
                <w:rFonts w:ascii="Times New Roman" w:eastAsia="Times New Roman" w:hAnsi="Times New Roman" w:cs="Times New Roman"/>
                <w:color w:val="auto"/>
                <w:sz w:val="20"/>
                <w:szCs w:val="20"/>
              </w:rPr>
              <w:t xml:space="preserve"> i </w:t>
            </w:r>
            <w:r w:rsidR="00333994">
              <w:rPr>
                <w:rFonts w:ascii="Times New Roman" w:eastAsia="Times New Roman" w:hAnsi="Times New Roman" w:cs="Times New Roman"/>
                <w:color w:val="auto"/>
                <w:sz w:val="20"/>
                <w:szCs w:val="20"/>
              </w:rPr>
              <w:t>10</w:t>
            </w:r>
            <w:r w:rsidRPr="00C66EC0">
              <w:rPr>
                <w:rFonts w:ascii="Times New Roman" w:eastAsia="Times New Roman" w:hAnsi="Times New Roman" w:cs="Times New Roman"/>
                <w:color w:val="auto"/>
                <w:sz w:val="20"/>
                <w:szCs w:val="20"/>
              </w:rPr>
              <w:t xml:space="preserve"> </w:t>
            </w:r>
            <w:r w:rsidR="00217D0B" w:rsidRPr="00C66EC0">
              <w:rPr>
                <w:rFonts w:ascii="Times New Roman" w:eastAsia="Times New Roman" w:hAnsi="Times New Roman" w:cs="Times New Roman"/>
                <w:color w:val="auto"/>
                <w:sz w:val="20"/>
                <w:szCs w:val="20"/>
              </w:rPr>
              <w:t>zbiorników szczelnych na nieczystości ciekłe</w:t>
            </w:r>
            <w:r w:rsidRPr="00C66EC0">
              <w:rPr>
                <w:rFonts w:ascii="Times New Roman" w:eastAsia="Times New Roman" w:hAnsi="Times New Roman" w:cs="Times New Roman"/>
                <w:color w:val="auto"/>
                <w:sz w:val="20"/>
                <w:szCs w:val="20"/>
              </w:rPr>
              <w:t>, na dzi</w:t>
            </w:r>
            <w:r w:rsidR="00241232" w:rsidRPr="00C66EC0">
              <w:rPr>
                <w:rFonts w:ascii="Times New Roman" w:eastAsia="Times New Roman" w:hAnsi="Times New Roman" w:cs="Times New Roman"/>
                <w:color w:val="auto"/>
                <w:sz w:val="20"/>
                <w:szCs w:val="20"/>
              </w:rPr>
              <w:t>ał</w:t>
            </w:r>
            <w:r w:rsidR="00217D0B" w:rsidRPr="00C66EC0">
              <w:rPr>
                <w:rFonts w:ascii="Times New Roman" w:eastAsia="Times New Roman" w:hAnsi="Times New Roman" w:cs="Times New Roman"/>
                <w:color w:val="auto"/>
                <w:sz w:val="20"/>
                <w:szCs w:val="20"/>
              </w:rPr>
              <w:t>ce</w:t>
            </w:r>
            <w:r w:rsidR="00241232" w:rsidRPr="00C66EC0">
              <w:rPr>
                <w:rFonts w:ascii="Times New Roman" w:eastAsia="Times New Roman" w:hAnsi="Times New Roman" w:cs="Times New Roman"/>
                <w:color w:val="auto"/>
                <w:sz w:val="20"/>
                <w:szCs w:val="20"/>
              </w:rPr>
              <w:t xml:space="preserve"> nr ew</w:t>
            </w:r>
            <w:r w:rsidRPr="00C66EC0">
              <w:rPr>
                <w:rFonts w:ascii="Times New Roman" w:eastAsia="Times New Roman" w:hAnsi="Times New Roman" w:cs="Times New Roman"/>
                <w:color w:val="auto"/>
                <w:sz w:val="20"/>
                <w:szCs w:val="20"/>
              </w:rPr>
              <w:t>id</w:t>
            </w:r>
            <w:r w:rsidR="00241232" w:rsidRPr="00C66EC0">
              <w:rPr>
                <w:rFonts w:ascii="Times New Roman" w:eastAsia="Times New Roman" w:hAnsi="Times New Roman" w:cs="Times New Roman"/>
                <w:color w:val="auto"/>
                <w:sz w:val="20"/>
                <w:szCs w:val="20"/>
              </w:rPr>
              <w:t xml:space="preserve">. </w:t>
            </w:r>
            <w:r w:rsidRPr="00C66EC0">
              <w:rPr>
                <w:rFonts w:ascii="Times New Roman" w:eastAsia="Times New Roman" w:hAnsi="Times New Roman" w:cs="Times New Roman"/>
                <w:color w:val="auto"/>
                <w:sz w:val="20"/>
                <w:szCs w:val="20"/>
              </w:rPr>
              <w:t>11</w:t>
            </w:r>
            <w:r w:rsidR="00241232" w:rsidRPr="00C66EC0">
              <w:rPr>
                <w:rFonts w:ascii="Times New Roman" w:eastAsia="Times New Roman" w:hAnsi="Times New Roman" w:cs="Times New Roman"/>
                <w:color w:val="auto"/>
                <w:sz w:val="20"/>
                <w:szCs w:val="20"/>
              </w:rPr>
              <w:t>/</w:t>
            </w:r>
            <w:r w:rsidR="00333994">
              <w:rPr>
                <w:rFonts w:ascii="Times New Roman" w:eastAsia="Times New Roman" w:hAnsi="Times New Roman" w:cs="Times New Roman"/>
                <w:color w:val="auto"/>
                <w:sz w:val="20"/>
                <w:szCs w:val="20"/>
              </w:rPr>
              <w:t>4</w:t>
            </w:r>
            <w:r w:rsidR="00241232" w:rsidRPr="00C66EC0">
              <w:rPr>
                <w:rFonts w:ascii="Times New Roman" w:eastAsia="Times New Roman" w:hAnsi="Times New Roman" w:cs="Times New Roman"/>
                <w:color w:val="auto"/>
                <w:sz w:val="20"/>
                <w:szCs w:val="20"/>
              </w:rPr>
              <w:t xml:space="preserve"> w obrębie </w:t>
            </w:r>
            <w:r w:rsidRPr="00C66EC0">
              <w:rPr>
                <w:rFonts w:ascii="Times New Roman" w:eastAsia="Times New Roman" w:hAnsi="Times New Roman" w:cs="Times New Roman"/>
                <w:color w:val="auto"/>
                <w:sz w:val="20"/>
                <w:szCs w:val="20"/>
              </w:rPr>
              <w:t>3</w:t>
            </w:r>
            <w:r w:rsidR="00241232" w:rsidRPr="00C66EC0">
              <w:rPr>
                <w:rFonts w:ascii="Times New Roman" w:eastAsia="Times New Roman" w:hAnsi="Times New Roman" w:cs="Times New Roman"/>
                <w:color w:val="auto"/>
                <w:sz w:val="20"/>
                <w:szCs w:val="20"/>
              </w:rPr>
              <w:t>-</w:t>
            </w:r>
            <w:r w:rsidRPr="00C66EC0">
              <w:rPr>
                <w:rFonts w:ascii="Times New Roman" w:eastAsia="Times New Roman" w:hAnsi="Times New Roman" w:cs="Times New Roman"/>
                <w:color w:val="auto"/>
                <w:sz w:val="20"/>
                <w:szCs w:val="20"/>
              </w:rPr>
              <w:t>14</w:t>
            </w:r>
            <w:r w:rsidR="00241232" w:rsidRPr="00C66EC0">
              <w:rPr>
                <w:rFonts w:ascii="Times New Roman" w:eastAsia="Times New Roman" w:hAnsi="Times New Roman" w:cs="Times New Roman"/>
                <w:color w:val="auto"/>
                <w:sz w:val="20"/>
                <w:szCs w:val="20"/>
              </w:rPr>
              <w:t>-</w:t>
            </w:r>
            <w:r w:rsidRPr="00C66EC0">
              <w:rPr>
                <w:rFonts w:ascii="Times New Roman" w:eastAsia="Times New Roman" w:hAnsi="Times New Roman" w:cs="Times New Roman"/>
                <w:color w:val="auto"/>
                <w:sz w:val="20"/>
                <w:szCs w:val="20"/>
              </w:rPr>
              <w:t>16</w:t>
            </w:r>
            <w:r w:rsidR="00241232" w:rsidRPr="00C66EC0">
              <w:rPr>
                <w:rFonts w:ascii="Times New Roman" w:eastAsia="Times New Roman" w:hAnsi="Times New Roman" w:cs="Times New Roman"/>
                <w:color w:val="auto"/>
                <w:sz w:val="20"/>
                <w:szCs w:val="20"/>
              </w:rPr>
              <w:t xml:space="preserve">, </w:t>
            </w:r>
            <w:r w:rsidR="00DD1B22" w:rsidRPr="00C66EC0">
              <w:rPr>
                <w:rFonts w:ascii="Times New Roman" w:eastAsia="Times New Roman" w:hAnsi="Times New Roman" w:cs="Times New Roman"/>
                <w:color w:val="auto"/>
                <w:sz w:val="20"/>
                <w:szCs w:val="20"/>
              </w:rPr>
              <w:t xml:space="preserve">położonej przy ul. </w:t>
            </w:r>
            <w:r w:rsidRPr="00C66EC0">
              <w:rPr>
                <w:rFonts w:ascii="Times New Roman" w:eastAsia="Times New Roman" w:hAnsi="Times New Roman" w:cs="Times New Roman"/>
                <w:color w:val="auto"/>
                <w:sz w:val="20"/>
                <w:szCs w:val="20"/>
              </w:rPr>
              <w:t>Mrągowskiej</w:t>
            </w:r>
            <w:r w:rsidR="00DD1B22" w:rsidRPr="00C66EC0">
              <w:rPr>
                <w:rFonts w:ascii="Times New Roman" w:eastAsia="Times New Roman" w:hAnsi="Times New Roman" w:cs="Times New Roman"/>
                <w:color w:val="auto"/>
                <w:sz w:val="20"/>
                <w:szCs w:val="20"/>
              </w:rPr>
              <w:t xml:space="preserve"> na terenie Dzielnicy W</w:t>
            </w:r>
            <w:r w:rsidRPr="00C66EC0">
              <w:rPr>
                <w:rFonts w:ascii="Times New Roman" w:eastAsia="Times New Roman" w:hAnsi="Times New Roman" w:cs="Times New Roman"/>
                <w:color w:val="auto"/>
                <w:sz w:val="20"/>
                <w:szCs w:val="20"/>
              </w:rPr>
              <w:t>awer</w:t>
            </w:r>
            <w:r w:rsidR="00DD1B22" w:rsidRPr="00C66EC0">
              <w:rPr>
                <w:rFonts w:ascii="Times New Roman" w:eastAsia="Times New Roman" w:hAnsi="Times New Roman" w:cs="Times New Roman"/>
                <w:color w:val="auto"/>
                <w:sz w:val="20"/>
                <w:szCs w:val="20"/>
              </w:rPr>
              <w:t xml:space="preserve"> m.st. Warszawa.</w:t>
            </w:r>
          </w:p>
        </w:tc>
      </w:tr>
      <w:tr w:rsidR="004A009C" w:rsidRPr="001E358D" w14:paraId="6661D653" w14:textId="77777777">
        <w:trPr>
          <w:trHeight w:val="528"/>
        </w:trPr>
        <w:tc>
          <w:tcPr>
            <w:tcW w:w="0" w:type="auto"/>
            <w:vMerge/>
            <w:tcBorders>
              <w:top w:val="nil"/>
              <w:left w:val="single" w:sz="4" w:space="0" w:color="000000"/>
              <w:bottom w:val="nil"/>
              <w:right w:val="single" w:sz="4" w:space="0" w:color="000000"/>
            </w:tcBorders>
          </w:tcPr>
          <w:p w14:paraId="5DD54B2A" w14:textId="77777777" w:rsidR="004A009C" w:rsidRPr="00F446DF" w:rsidRDefault="004A009C"/>
        </w:tc>
        <w:tc>
          <w:tcPr>
            <w:tcW w:w="6840" w:type="dxa"/>
            <w:gridSpan w:val="2"/>
            <w:tcBorders>
              <w:top w:val="single" w:sz="4" w:space="0" w:color="000000"/>
              <w:left w:val="single" w:sz="4" w:space="0" w:color="000000"/>
              <w:bottom w:val="single" w:sz="4" w:space="0" w:color="000000"/>
              <w:right w:val="single" w:sz="4" w:space="0" w:color="000000"/>
            </w:tcBorders>
            <w:vAlign w:val="center"/>
          </w:tcPr>
          <w:p w14:paraId="5AB17EFF" w14:textId="77777777" w:rsidR="004A009C" w:rsidRPr="00F446DF" w:rsidRDefault="00B365B2">
            <w:pPr>
              <w:ind w:left="2"/>
            </w:pPr>
            <w:r w:rsidRPr="00F446DF">
              <w:rPr>
                <w:rFonts w:ascii="Times New Roman" w:eastAsia="Times New Roman" w:hAnsi="Times New Roman" w:cs="Times New Roman"/>
                <w:sz w:val="20"/>
              </w:rPr>
              <w:t xml:space="preserve">Cechy zabudowy i zagospodarowania terenu: </w:t>
            </w:r>
          </w:p>
        </w:tc>
      </w:tr>
      <w:tr w:rsidR="004A009C" w:rsidRPr="001E358D" w14:paraId="027DCFB7" w14:textId="77777777">
        <w:trPr>
          <w:trHeight w:val="528"/>
        </w:trPr>
        <w:tc>
          <w:tcPr>
            <w:tcW w:w="0" w:type="auto"/>
            <w:vMerge/>
            <w:tcBorders>
              <w:top w:val="nil"/>
              <w:left w:val="single" w:sz="4" w:space="0" w:color="000000"/>
              <w:bottom w:val="nil"/>
              <w:right w:val="single" w:sz="4" w:space="0" w:color="000000"/>
            </w:tcBorders>
          </w:tcPr>
          <w:p w14:paraId="52681840" w14:textId="77777777" w:rsidR="004A009C" w:rsidRPr="00F446DF"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7E7730E1" w14:textId="77777777" w:rsidR="004A009C" w:rsidRPr="00C66EC0" w:rsidRDefault="00B365B2">
            <w:pPr>
              <w:ind w:left="2"/>
              <w:rPr>
                <w:sz w:val="20"/>
                <w:szCs w:val="20"/>
              </w:rPr>
            </w:pPr>
            <w:r w:rsidRPr="00C66EC0">
              <w:rPr>
                <w:rFonts w:ascii="Times New Roman" w:eastAsia="Times New Roman" w:hAnsi="Times New Roman" w:cs="Times New Roman"/>
                <w:sz w:val="20"/>
                <w:szCs w:val="20"/>
              </w:rPr>
              <w:t xml:space="preserve">gabaryty </w:t>
            </w:r>
          </w:p>
        </w:tc>
        <w:tc>
          <w:tcPr>
            <w:tcW w:w="3421" w:type="dxa"/>
            <w:tcBorders>
              <w:top w:val="single" w:sz="4" w:space="0" w:color="000000"/>
              <w:left w:val="single" w:sz="4" w:space="0" w:color="000000"/>
              <w:bottom w:val="single" w:sz="4" w:space="0" w:color="000000"/>
              <w:right w:val="single" w:sz="4" w:space="0" w:color="000000"/>
            </w:tcBorders>
            <w:vAlign w:val="center"/>
          </w:tcPr>
          <w:p w14:paraId="1094B0A4" w14:textId="517BA8DC" w:rsidR="004A009C" w:rsidRPr="00C66EC0" w:rsidRDefault="00603519" w:rsidP="00603519">
            <w:pPr>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102AFC" w:rsidRPr="00C66EC0">
              <w:rPr>
                <w:rFonts w:ascii="Times New Roman" w:eastAsia="Times New Roman" w:hAnsi="Times New Roman" w:cs="Times New Roman"/>
                <w:sz w:val="20"/>
                <w:szCs w:val="20"/>
              </w:rPr>
              <w:t>ysokość elewacji frontowej</w:t>
            </w:r>
            <w:r>
              <w:rPr>
                <w:rFonts w:ascii="Times New Roman" w:eastAsia="Times New Roman" w:hAnsi="Times New Roman" w:cs="Times New Roman"/>
                <w:sz w:val="20"/>
                <w:szCs w:val="20"/>
              </w:rPr>
              <w:t xml:space="preserve"> budynku</w:t>
            </w:r>
            <w:r w:rsidR="00102AFC" w:rsidRPr="00C66EC0">
              <w:rPr>
                <w:rFonts w:ascii="Times New Roman" w:eastAsia="Times New Roman" w:hAnsi="Times New Roman" w:cs="Times New Roman"/>
                <w:sz w:val="20"/>
                <w:szCs w:val="20"/>
              </w:rPr>
              <w:t>, jej gzymsu lub attyki (mierzona od średniego poziomu terenu przed głównym wejściem do budynku) –</w:t>
            </w:r>
            <w:r>
              <w:rPr>
                <w:rFonts w:ascii="Times New Roman" w:eastAsia="Times New Roman" w:hAnsi="Times New Roman" w:cs="Times New Roman"/>
                <w:sz w:val="20"/>
                <w:szCs w:val="20"/>
              </w:rPr>
              <w:t xml:space="preserve"> do</w:t>
            </w:r>
            <w:r w:rsidR="00102AFC" w:rsidRPr="00C66EC0">
              <w:rPr>
                <w:rFonts w:ascii="Times New Roman" w:eastAsia="Times New Roman" w:hAnsi="Times New Roman" w:cs="Times New Roman"/>
                <w:sz w:val="20"/>
                <w:szCs w:val="20"/>
              </w:rPr>
              <w:t xml:space="preserve"> 8m.</w:t>
            </w:r>
          </w:p>
          <w:p w14:paraId="3D9B1B94" w14:textId="29A85B8B" w:rsidR="00102AFC" w:rsidRPr="00C66EC0" w:rsidRDefault="00603519">
            <w:pPr>
              <w:ind w:left="4"/>
              <w:rPr>
                <w:rFonts w:ascii="Times New Roman" w:hAnsi="Times New Roman" w:cs="Times New Roman"/>
                <w:sz w:val="20"/>
                <w:szCs w:val="20"/>
              </w:rPr>
            </w:pPr>
            <w:r>
              <w:rPr>
                <w:rFonts w:ascii="Times New Roman" w:hAnsi="Times New Roman" w:cs="Times New Roman"/>
                <w:sz w:val="20"/>
                <w:szCs w:val="20"/>
              </w:rPr>
              <w:t>W</w:t>
            </w:r>
            <w:r w:rsidR="00102AFC" w:rsidRPr="00C66EC0">
              <w:rPr>
                <w:rFonts w:ascii="Times New Roman" w:hAnsi="Times New Roman" w:cs="Times New Roman"/>
                <w:sz w:val="20"/>
                <w:szCs w:val="20"/>
              </w:rPr>
              <w:t>ysokość głównej kalenicy dachu</w:t>
            </w:r>
            <w:r>
              <w:rPr>
                <w:rFonts w:ascii="Times New Roman" w:hAnsi="Times New Roman" w:cs="Times New Roman"/>
                <w:sz w:val="20"/>
                <w:szCs w:val="20"/>
              </w:rPr>
              <w:t xml:space="preserve"> budynku (mierzona od rzędnej terenu istniejącego)</w:t>
            </w:r>
            <w:r w:rsidR="00102AFC" w:rsidRPr="00C66EC0">
              <w:rPr>
                <w:rFonts w:ascii="Times New Roman" w:hAnsi="Times New Roman" w:cs="Times New Roman"/>
                <w:sz w:val="20"/>
                <w:szCs w:val="20"/>
              </w:rPr>
              <w:t xml:space="preserve"> – </w:t>
            </w:r>
            <w:r>
              <w:rPr>
                <w:rFonts w:ascii="Times New Roman" w:hAnsi="Times New Roman" w:cs="Times New Roman"/>
                <w:sz w:val="20"/>
                <w:szCs w:val="20"/>
              </w:rPr>
              <w:t xml:space="preserve">do </w:t>
            </w:r>
            <w:r w:rsidR="00102AFC" w:rsidRPr="00C66EC0">
              <w:rPr>
                <w:rFonts w:ascii="Times New Roman" w:hAnsi="Times New Roman" w:cs="Times New Roman"/>
                <w:sz w:val="20"/>
                <w:szCs w:val="20"/>
              </w:rPr>
              <w:t>8m.</w:t>
            </w:r>
          </w:p>
        </w:tc>
      </w:tr>
      <w:tr w:rsidR="004A009C" w:rsidRPr="001E358D" w14:paraId="14EDF298" w14:textId="77777777">
        <w:trPr>
          <w:trHeight w:val="528"/>
        </w:trPr>
        <w:tc>
          <w:tcPr>
            <w:tcW w:w="0" w:type="auto"/>
            <w:vMerge/>
            <w:tcBorders>
              <w:top w:val="nil"/>
              <w:left w:val="single" w:sz="4" w:space="0" w:color="000000"/>
              <w:bottom w:val="nil"/>
              <w:right w:val="single" w:sz="4" w:space="0" w:color="000000"/>
            </w:tcBorders>
          </w:tcPr>
          <w:p w14:paraId="2F9655E1" w14:textId="77777777" w:rsidR="004A009C" w:rsidRPr="00F446DF"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35696DA3" w14:textId="77777777" w:rsidR="004A009C" w:rsidRPr="00C66EC0" w:rsidRDefault="00B365B2">
            <w:pPr>
              <w:ind w:left="2"/>
              <w:rPr>
                <w:sz w:val="20"/>
                <w:szCs w:val="20"/>
              </w:rPr>
            </w:pPr>
            <w:r w:rsidRPr="00C66EC0">
              <w:rPr>
                <w:rFonts w:ascii="Times New Roman" w:eastAsia="Times New Roman" w:hAnsi="Times New Roman" w:cs="Times New Roman"/>
                <w:sz w:val="20"/>
                <w:szCs w:val="20"/>
              </w:rPr>
              <w:t xml:space="preserve">forma architektoniczna </w:t>
            </w:r>
          </w:p>
        </w:tc>
        <w:tc>
          <w:tcPr>
            <w:tcW w:w="3421" w:type="dxa"/>
            <w:tcBorders>
              <w:top w:val="single" w:sz="4" w:space="0" w:color="000000"/>
              <w:left w:val="single" w:sz="4" w:space="0" w:color="000000"/>
              <w:bottom w:val="single" w:sz="4" w:space="0" w:color="000000"/>
              <w:right w:val="single" w:sz="4" w:space="0" w:color="000000"/>
            </w:tcBorders>
            <w:vAlign w:val="center"/>
          </w:tcPr>
          <w:p w14:paraId="289FC8FA" w14:textId="62889F85" w:rsidR="004A009C" w:rsidRPr="00C66EC0" w:rsidRDefault="00102AFC">
            <w:pPr>
              <w:ind w:left="4"/>
              <w:rPr>
                <w:sz w:val="20"/>
                <w:szCs w:val="20"/>
              </w:rPr>
            </w:pPr>
            <w:r w:rsidRPr="00C66EC0">
              <w:rPr>
                <w:rFonts w:ascii="Times New Roman" w:eastAsia="Times New Roman" w:hAnsi="Times New Roman" w:cs="Times New Roman"/>
                <w:sz w:val="20"/>
                <w:szCs w:val="20"/>
              </w:rPr>
              <w:t>Dachy budynku płaskie lub spadziste, kąt nachylenia głównych połaci dachowych –</w:t>
            </w:r>
            <w:r w:rsidR="00603519">
              <w:rPr>
                <w:rFonts w:ascii="Times New Roman" w:eastAsia="Times New Roman" w:hAnsi="Times New Roman" w:cs="Times New Roman"/>
                <w:sz w:val="20"/>
                <w:szCs w:val="20"/>
              </w:rPr>
              <w:t xml:space="preserve"> od</w:t>
            </w:r>
            <w:r w:rsidRPr="00C66EC0">
              <w:rPr>
                <w:rFonts w:ascii="Times New Roman" w:eastAsia="Times New Roman" w:hAnsi="Times New Roman" w:cs="Times New Roman"/>
                <w:sz w:val="20"/>
                <w:szCs w:val="20"/>
              </w:rPr>
              <w:t xml:space="preserve"> 0˚</w:t>
            </w:r>
            <w:r w:rsidR="00603519">
              <w:rPr>
                <w:rFonts w:ascii="Times New Roman" w:eastAsia="Times New Roman" w:hAnsi="Times New Roman" w:cs="Times New Roman"/>
                <w:sz w:val="20"/>
                <w:szCs w:val="20"/>
              </w:rPr>
              <w:t>do</w:t>
            </w:r>
            <w:r w:rsidRPr="00C66EC0">
              <w:rPr>
                <w:rFonts w:ascii="Times New Roman" w:eastAsia="Times New Roman" w:hAnsi="Times New Roman" w:cs="Times New Roman"/>
                <w:sz w:val="20"/>
                <w:szCs w:val="20"/>
              </w:rPr>
              <w:t xml:space="preserve"> 4</w:t>
            </w:r>
            <w:r w:rsidR="00C0050E">
              <w:rPr>
                <w:rFonts w:ascii="Times New Roman" w:eastAsia="Times New Roman" w:hAnsi="Times New Roman" w:cs="Times New Roman"/>
                <w:sz w:val="20"/>
                <w:szCs w:val="20"/>
              </w:rPr>
              <w:t>5</w:t>
            </w:r>
            <w:r w:rsidRPr="00C66EC0">
              <w:rPr>
                <w:rFonts w:ascii="Times New Roman" w:eastAsia="Times New Roman" w:hAnsi="Times New Roman" w:cs="Times New Roman"/>
                <w:sz w:val="20"/>
                <w:szCs w:val="20"/>
              </w:rPr>
              <w:t xml:space="preserve">˚ </w:t>
            </w:r>
          </w:p>
        </w:tc>
      </w:tr>
      <w:tr w:rsidR="004A009C" w:rsidRPr="001E358D" w14:paraId="1E642AC9" w14:textId="77777777">
        <w:trPr>
          <w:trHeight w:val="528"/>
        </w:trPr>
        <w:tc>
          <w:tcPr>
            <w:tcW w:w="0" w:type="auto"/>
            <w:vMerge/>
            <w:tcBorders>
              <w:top w:val="nil"/>
              <w:left w:val="single" w:sz="4" w:space="0" w:color="000000"/>
              <w:bottom w:val="nil"/>
              <w:right w:val="single" w:sz="4" w:space="0" w:color="000000"/>
            </w:tcBorders>
          </w:tcPr>
          <w:p w14:paraId="0780678C" w14:textId="77777777" w:rsidR="004A009C" w:rsidRPr="00F446DF"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64110D6B" w14:textId="77777777" w:rsidR="004A009C" w:rsidRPr="00C66EC0" w:rsidRDefault="00B365B2">
            <w:pPr>
              <w:ind w:left="2"/>
              <w:rPr>
                <w:sz w:val="20"/>
                <w:szCs w:val="20"/>
              </w:rPr>
            </w:pPr>
            <w:r w:rsidRPr="00C66EC0">
              <w:rPr>
                <w:rFonts w:ascii="Times New Roman" w:eastAsia="Times New Roman" w:hAnsi="Times New Roman" w:cs="Times New Roman"/>
                <w:sz w:val="20"/>
                <w:szCs w:val="20"/>
              </w:rPr>
              <w:t xml:space="preserve">usytuowanie linii zabudowy </w:t>
            </w:r>
          </w:p>
        </w:tc>
        <w:tc>
          <w:tcPr>
            <w:tcW w:w="3421" w:type="dxa"/>
            <w:tcBorders>
              <w:top w:val="single" w:sz="4" w:space="0" w:color="000000"/>
              <w:left w:val="single" w:sz="4" w:space="0" w:color="000000"/>
              <w:bottom w:val="single" w:sz="4" w:space="0" w:color="000000"/>
              <w:right w:val="single" w:sz="4" w:space="0" w:color="000000"/>
            </w:tcBorders>
            <w:vAlign w:val="center"/>
          </w:tcPr>
          <w:p w14:paraId="43BF0AD3" w14:textId="6B71AFB3" w:rsidR="00603519" w:rsidRDefault="00603519">
            <w:pPr>
              <w:ind w:left="4"/>
              <w:rPr>
                <w:rFonts w:ascii="Times New Roman" w:eastAsia="Times New Roman" w:hAnsi="Times New Roman" w:cs="Times New Roman"/>
                <w:sz w:val="20"/>
                <w:szCs w:val="20"/>
              </w:rPr>
            </w:pPr>
            <w:r>
              <w:rPr>
                <w:rFonts w:ascii="Times New Roman" w:eastAsia="Times New Roman" w:hAnsi="Times New Roman" w:cs="Times New Roman"/>
                <w:sz w:val="20"/>
                <w:szCs w:val="20"/>
              </w:rPr>
              <w:t>Nie wyznacza</w:t>
            </w:r>
            <w:r w:rsidR="00295763">
              <w:rPr>
                <w:rFonts w:ascii="Times New Roman" w:eastAsia="Times New Roman" w:hAnsi="Times New Roman" w:cs="Times New Roman"/>
                <w:sz w:val="20"/>
                <w:szCs w:val="20"/>
              </w:rPr>
              <w:t xml:space="preserve"> się nieprzekraczalnej linii zabudowy gdyż teren inwestycji nie leży bezpośrednio przy pasie drogowym.</w:t>
            </w:r>
            <w:r>
              <w:rPr>
                <w:rFonts w:ascii="Times New Roman" w:eastAsia="Times New Roman" w:hAnsi="Times New Roman" w:cs="Times New Roman"/>
                <w:sz w:val="20"/>
                <w:szCs w:val="20"/>
              </w:rPr>
              <w:t xml:space="preserve"> </w:t>
            </w:r>
          </w:p>
          <w:p w14:paraId="7D3CBE79" w14:textId="57FA692F" w:rsidR="004A009C" w:rsidRPr="00C66EC0" w:rsidRDefault="00CE3D5F">
            <w:pPr>
              <w:ind w:left="4"/>
              <w:rPr>
                <w:sz w:val="20"/>
                <w:szCs w:val="20"/>
              </w:rPr>
            </w:pPr>
            <w:r w:rsidRPr="00C66EC0">
              <w:rPr>
                <w:rFonts w:ascii="Times New Roman" w:eastAsia="Times New Roman" w:hAnsi="Times New Roman" w:cs="Times New Roman"/>
                <w:sz w:val="20"/>
                <w:szCs w:val="20"/>
              </w:rPr>
              <w:t>Nieprzekraczalna linia zabudowy</w:t>
            </w:r>
            <w:r w:rsidR="0075672E" w:rsidRPr="00C66EC0">
              <w:rPr>
                <w:rFonts w:ascii="Times New Roman" w:eastAsia="Times New Roman" w:hAnsi="Times New Roman" w:cs="Times New Roman"/>
                <w:sz w:val="20"/>
                <w:szCs w:val="20"/>
              </w:rPr>
              <w:t xml:space="preserve"> </w:t>
            </w:r>
            <w:r w:rsidR="00C0050E">
              <w:rPr>
                <w:rFonts w:ascii="Times New Roman" w:eastAsia="Times New Roman" w:hAnsi="Times New Roman" w:cs="Times New Roman"/>
                <w:sz w:val="20"/>
                <w:szCs w:val="20"/>
              </w:rPr>
              <w:t xml:space="preserve">przedstawia </w:t>
            </w:r>
            <w:r w:rsidR="0075672E" w:rsidRPr="00C66EC0">
              <w:rPr>
                <w:rFonts w:ascii="Times New Roman" w:eastAsia="Times New Roman" w:hAnsi="Times New Roman" w:cs="Times New Roman"/>
                <w:sz w:val="20"/>
                <w:szCs w:val="20"/>
              </w:rPr>
              <w:t xml:space="preserve">załącznik graficzny nr 1 </w:t>
            </w:r>
            <w:r w:rsidR="00C0050E">
              <w:rPr>
                <w:rFonts w:ascii="Times New Roman" w:eastAsia="Times New Roman" w:hAnsi="Times New Roman" w:cs="Times New Roman"/>
                <w:sz w:val="20"/>
                <w:szCs w:val="20"/>
              </w:rPr>
              <w:t xml:space="preserve">i nr 2 </w:t>
            </w:r>
            <w:r w:rsidR="0075672E" w:rsidRPr="00C66EC0">
              <w:rPr>
                <w:rFonts w:ascii="Times New Roman" w:eastAsia="Times New Roman" w:hAnsi="Times New Roman" w:cs="Times New Roman"/>
                <w:sz w:val="20"/>
                <w:szCs w:val="20"/>
              </w:rPr>
              <w:t>do decyzji</w:t>
            </w:r>
            <w:r w:rsidR="00B6361C">
              <w:rPr>
                <w:rFonts w:ascii="Times New Roman" w:eastAsia="Times New Roman" w:hAnsi="Times New Roman" w:cs="Times New Roman"/>
                <w:sz w:val="20"/>
                <w:szCs w:val="20"/>
              </w:rPr>
              <w:t xml:space="preserve"> o Warunkach Zabudowy nr 91/WZ/2023 z dnia 04.04.2023 r.</w:t>
            </w:r>
            <w:r w:rsidR="0075672E" w:rsidRPr="00C66EC0">
              <w:rPr>
                <w:rFonts w:ascii="Times New Roman" w:eastAsia="Times New Roman" w:hAnsi="Times New Roman" w:cs="Times New Roman"/>
                <w:sz w:val="20"/>
                <w:szCs w:val="20"/>
              </w:rPr>
              <w:t xml:space="preserve">  </w:t>
            </w:r>
          </w:p>
        </w:tc>
      </w:tr>
      <w:tr w:rsidR="004A009C" w:rsidRPr="001E358D" w14:paraId="1C77A991" w14:textId="77777777">
        <w:trPr>
          <w:trHeight w:val="529"/>
        </w:trPr>
        <w:tc>
          <w:tcPr>
            <w:tcW w:w="0" w:type="auto"/>
            <w:vMerge/>
            <w:tcBorders>
              <w:top w:val="nil"/>
              <w:left w:val="single" w:sz="4" w:space="0" w:color="000000"/>
              <w:bottom w:val="nil"/>
              <w:right w:val="single" w:sz="4" w:space="0" w:color="000000"/>
            </w:tcBorders>
          </w:tcPr>
          <w:p w14:paraId="03CA1A32" w14:textId="77777777" w:rsidR="004A009C" w:rsidRPr="00F446DF"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7B5B93FA" w14:textId="77777777" w:rsidR="004A009C" w:rsidRPr="00C66EC0" w:rsidRDefault="00B365B2">
            <w:pPr>
              <w:ind w:left="2"/>
              <w:rPr>
                <w:sz w:val="20"/>
                <w:szCs w:val="20"/>
              </w:rPr>
            </w:pPr>
            <w:r w:rsidRPr="00C66EC0">
              <w:rPr>
                <w:rFonts w:ascii="Times New Roman" w:eastAsia="Times New Roman" w:hAnsi="Times New Roman" w:cs="Times New Roman"/>
                <w:sz w:val="20"/>
                <w:szCs w:val="20"/>
              </w:rPr>
              <w:t xml:space="preserve">intensywność wykorzystania terenu </w:t>
            </w:r>
          </w:p>
        </w:tc>
        <w:tc>
          <w:tcPr>
            <w:tcW w:w="3421" w:type="dxa"/>
            <w:tcBorders>
              <w:top w:val="single" w:sz="4" w:space="0" w:color="000000"/>
              <w:left w:val="single" w:sz="4" w:space="0" w:color="000000"/>
              <w:bottom w:val="single" w:sz="4" w:space="0" w:color="000000"/>
              <w:right w:val="single" w:sz="4" w:space="0" w:color="000000"/>
            </w:tcBorders>
            <w:vAlign w:val="center"/>
          </w:tcPr>
          <w:p w14:paraId="0348D748" w14:textId="570C6F77" w:rsidR="004A009C" w:rsidRPr="00C66EC0" w:rsidRDefault="00C0050E">
            <w:pPr>
              <w:ind w:left="4"/>
              <w:rPr>
                <w:sz w:val="20"/>
                <w:szCs w:val="20"/>
              </w:rPr>
            </w:pPr>
            <w:r>
              <w:rPr>
                <w:rFonts w:ascii="Times New Roman" w:eastAsia="Times New Roman" w:hAnsi="Times New Roman" w:cs="Times New Roman"/>
                <w:sz w:val="20"/>
                <w:szCs w:val="20"/>
              </w:rPr>
              <w:t>W</w:t>
            </w:r>
            <w:r w:rsidR="0075672E" w:rsidRPr="00C66EC0">
              <w:rPr>
                <w:rFonts w:ascii="Times New Roman" w:eastAsia="Times New Roman" w:hAnsi="Times New Roman" w:cs="Times New Roman"/>
                <w:sz w:val="20"/>
                <w:szCs w:val="20"/>
              </w:rPr>
              <w:t>skaźnik wielkości powierzchni zabudowy projektowanej</w:t>
            </w:r>
            <w:r w:rsidR="00972633">
              <w:rPr>
                <w:rFonts w:ascii="Times New Roman" w:eastAsia="Times New Roman" w:hAnsi="Times New Roman" w:cs="Times New Roman"/>
                <w:sz w:val="20"/>
                <w:szCs w:val="20"/>
              </w:rPr>
              <w:t xml:space="preserve"> w stosunku</w:t>
            </w:r>
            <w:r w:rsidR="0075672E" w:rsidRPr="00C66EC0">
              <w:rPr>
                <w:rFonts w:ascii="Times New Roman" w:eastAsia="Times New Roman" w:hAnsi="Times New Roman" w:cs="Times New Roman"/>
                <w:sz w:val="20"/>
                <w:szCs w:val="20"/>
              </w:rPr>
              <w:t xml:space="preserve"> do </w:t>
            </w:r>
            <w:r w:rsidR="00972633">
              <w:rPr>
                <w:rFonts w:ascii="Times New Roman" w:eastAsia="Times New Roman" w:hAnsi="Times New Roman" w:cs="Times New Roman"/>
                <w:sz w:val="20"/>
                <w:szCs w:val="20"/>
              </w:rPr>
              <w:t xml:space="preserve">powierzchni </w:t>
            </w:r>
            <w:r w:rsidR="0075672E" w:rsidRPr="00C66EC0">
              <w:rPr>
                <w:rFonts w:ascii="Times New Roman" w:eastAsia="Times New Roman" w:hAnsi="Times New Roman" w:cs="Times New Roman"/>
                <w:sz w:val="20"/>
                <w:szCs w:val="20"/>
              </w:rPr>
              <w:t xml:space="preserve">terenu inwestycji </w:t>
            </w:r>
            <w:r w:rsidR="00036772" w:rsidRPr="00C66EC0">
              <w:rPr>
                <w:rFonts w:ascii="Times New Roman" w:eastAsia="Times New Roman" w:hAnsi="Times New Roman" w:cs="Times New Roman"/>
                <w:sz w:val="20"/>
                <w:szCs w:val="20"/>
              </w:rPr>
              <w:t>–</w:t>
            </w:r>
            <w:r w:rsidR="00972633">
              <w:rPr>
                <w:rFonts w:ascii="Times New Roman" w:eastAsia="Times New Roman" w:hAnsi="Times New Roman" w:cs="Times New Roman"/>
                <w:sz w:val="20"/>
                <w:szCs w:val="20"/>
              </w:rPr>
              <w:t xml:space="preserve"> do</w:t>
            </w:r>
            <w:r w:rsidR="00036772" w:rsidRPr="00C66EC0">
              <w:rPr>
                <w:rFonts w:ascii="Times New Roman" w:eastAsia="Times New Roman" w:hAnsi="Times New Roman" w:cs="Times New Roman"/>
                <w:sz w:val="20"/>
                <w:szCs w:val="20"/>
              </w:rPr>
              <w:t xml:space="preserve"> 0,2</w:t>
            </w:r>
            <w:r w:rsidR="00972633">
              <w:rPr>
                <w:rFonts w:ascii="Times New Roman" w:eastAsia="Times New Roman" w:hAnsi="Times New Roman" w:cs="Times New Roman"/>
                <w:sz w:val="20"/>
                <w:szCs w:val="20"/>
              </w:rPr>
              <w:t>3</w:t>
            </w:r>
            <w:r w:rsidR="00036772" w:rsidRPr="00C66EC0">
              <w:rPr>
                <w:rFonts w:ascii="Times New Roman" w:eastAsia="Times New Roman" w:hAnsi="Times New Roman" w:cs="Times New Roman"/>
                <w:sz w:val="20"/>
                <w:szCs w:val="20"/>
              </w:rPr>
              <w:t xml:space="preserve"> </w:t>
            </w:r>
            <w:r w:rsidR="00390B4C" w:rsidRPr="00C66EC0">
              <w:rPr>
                <w:rFonts w:ascii="Times New Roman" w:eastAsia="Times New Roman" w:hAnsi="Times New Roman" w:cs="Times New Roman"/>
                <w:sz w:val="20"/>
                <w:szCs w:val="20"/>
              </w:rPr>
              <w:t xml:space="preserve">  </w:t>
            </w:r>
            <w:r w:rsidR="00B365B2" w:rsidRPr="00C66EC0">
              <w:rPr>
                <w:rFonts w:ascii="Times New Roman" w:eastAsia="Times New Roman" w:hAnsi="Times New Roman" w:cs="Times New Roman"/>
                <w:sz w:val="20"/>
                <w:szCs w:val="20"/>
              </w:rPr>
              <w:t xml:space="preserve"> </w:t>
            </w:r>
          </w:p>
        </w:tc>
      </w:tr>
      <w:tr w:rsidR="004A009C" w:rsidRPr="001E358D" w14:paraId="2A1036C9" w14:textId="77777777">
        <w:trPr>
          <w:trHeight w:val="758"/>
        </w:trPr>
        <w:tc>
          <w:tcPr>
            <w:tcW w:w="0" w:type="auto"/>
            <w:vMerge/>
            <w:tcBorders>
              <w:top w:val="nil"/>
              <w:left w:val="single" w:sz="4" w:space="0" w:color="000000"/>
              <w:bottom w:val="nil"/>
              <w:right w:val="single" w:sz="4" w:space="0" w:color="000000"/>
            </w:tcBorders>
          </w:tcPr>
          <w:p w14:paraId="35B0F34D" w14:textId="77777777" w:rsidR="004A009C" w:rsidRPr="00F446DF"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6072905C" w14:textId="77777777" w:rsidR="004A009C" w:rsidRPr="00C66EC0" w:rsidRDefault="00B365B2">
            <w:pPr>
              <w:ind w:left="2"/>
              <w:jc w:val="both"/>
              <w:rPr>
                <w:sz w:val="20"/>
                <w:szCs w:val="20"/>
              </w:rPr>
            </w:pPr>
            <w:r w:rsidRPr="00C66EC0">
              <w:rPr>
                <w:rFonts w:ascii="Times New Roman" w:eastAsia="Times New Roman" w:hAnsi="Times New Roman" w:cs="Times New Roman"/>
                <w:sz w:val="20"/>
                <w:szCs w:val="20"/>
              </w:rPr>
              <w:t xml:space="preserve">warunki ochrony środowiska i zdrowia ludzi, przyrody i krajobrazu </w:t>
            </w:r>
          </w:p>
        </w:tc>
        <w:tc>
          <w:tcPr>
            <w:tcW w:w="3421" w:type="dxa"/>
            <w:tcBorders>
              <w:top w:val="single" w:sz="4" w:space="0" w:color="000000"/>
              <w:left w:val="single" w:sz="4" w:space="0" w:color="000000"/>
              <w:bottom w:val="single" w:sz="4" w:space="0" w:color="000000"/>
              <w:right w:val="single" w:sz="4" w:space="0" w:color="000000"/>
            </w:tcBorders>
          </w:tcPr>
          <w:p w14:paraId="26190CE3" w14:textId="2F2839A9" w:rsidR="006D1B0A" w:rsidRPr="00C66EC0" w:rsidRDefault="00910B9C" w:rsidP="00D91B65">
            <w:pPr>
              <w:ind w:left="4"/>
              <w:rPr>
                <w:rFonts w:ascii="Times New Roman" w:hAnsi="Times New Roman" w:cs="Times New Roman"/>
                <w:sz w:val="20"/>
                <w:szCs w:val="20"/>
              </w:rPr>
            </w:pPr>
            <w:r>
              <w:rPr>
                <w:rFonts w:ascii="Times New Roman" w:hAnsi="Times New Roman" w:cs="Times New Roman"/>
                <w:sz w:val="20"/>
                <w:szCs w:val="20"/>
              </w:rPr>
              <w:t xml:space="preserve">Inwestycja </w:t>
            </w:r>
            <w:r w:rsidR="00CE3D5F" w:rsidRPr="00C66EC0">
              <w:rPr>
                <w:rFonts w:ascii="Times New Roman" w:hAnsi="Times New Roman" w:cs="Times New Roman"/>
                <w:sz w:val="20"/>
                <w:szCs w:val="20"/>
              </w:rPr>
              <w:t xml:space="preserve"> </w:t>
            </w:r>
            <w:r>
              <w:rPr>
                <w:rFonts w:ascii="Times New Roman" w:hAnsi="Times New Roman" w:cs="Times New Roman"/>
                <w:sz w:val="20"/>
                <w:szCs w:val="20"/>
              </w:rPr>
              <w:t>nie jest ujęta w Rozporządzeniu Rady Ministrów z dnia 9 listopada 2010r. w sprawie przedsięwzięć mogących znacząco oddziaływać na środowisko (Dz.U. z 2019r., poz. 1839)</w:t>
            </w:r>
          </w:p>
        </w:tc>
      </w:tr>
      <w:tr w:rsidR="004A009C" w:rsidRPr="001E358D" w14:paraId="0841C00A" w14:textId="77777777">
        <w:trPr>
          <w:trHeight w:val="1216"/>
        </w:trPr>
        <w:tc>
          <w:tcPr>
            <w:tcW w:w="0" w:type="auto"/>
            <w:vMerge/>
            <w:tcBorders>
              <w:top w:val="nil"/>
              <w:left w:val="single" w:sz="4" w:space="0" w:color="000000"/>
              <w:bottom w:val="single" w:sz="4" w:space="0" w:color="000000"/>
              <w:right w:val="single" w:sz="4" w:space="0" w:color="000000"/>
            </w:tcBorders>
          </w:tcPr>
          <w:p w14:paraId="4B127A16" w14:textId="77777777" w:rsidR="004A009C" w:rsidRPr="00F446DF"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1EE27942" w14:textId="2ADE73E9" w:rsidR="004A009C" w:rsidRPr="00C66EC0" w:rsidRDefault="00B365B2">
            <w:pPr>
              <w:ind w:left="2" w:right="46"/>
              <w:jc w:val="both"/>
              <w:rPr>
                <w:sz w:val="20"/>
                <w:szCs w:val="20"/>
              </w:rPr>
            </w:pPr>
            <w:r w:rsidRPr="00C66EC0">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421" w:type="dxa"/>
            <w:tcBorders>
              <w:top w:val="single" w:sz="4" w:space="0" w:color="000000"/>
              <w:left w:val="single" w:sz="4" w:space="0" w:color="000000"/>
              <w:bottom w:val="single" w:sz="4" w:space="0" w:color="000000"/>
              <w:right w:val="single" w:sz="4" w:space="0" w:color="000000"/>
            </w:tcBorders>
          </w:tcPr>
          <w:p w14:paraId="4AE346CB" w14:textId="77777777" w:rsidR="00E65546" w:rsidRPr="00F446DF" w:rsidRDefault="00E65546" w:rsidP="00E65546">
            <w:pPr>
              <w:ind w:left="4"/>
              <w:jc w:val="center"/>
              <w:rPr>
                <w:rFonts w:ascii="Times New Roman" w:eastAsia="Times New Roman" w:hAnsi="Times New Roman" w:cs="Times New Roman"/>
                <w:sz w:val="20"/>
              </w:rPr>
            </w:pPr>
          </w:p>
          <w:p w14:paraId="35C0C41B" w14:textId="77777777" w:rsidR="00E65546" w:rsidRPr="00C66EC0" w:rsidRDefault="00E65546" w:rsidP="00E65546">
            <w:pPr>
              <w:ind w:left="4"/>
              <w:jc w:val="center"/>
              <w:rPr>
                <w:rFonts w:ascii="Times New Roman" w:eastAsia="Times New Roman" w:hAnsi="Times New Roman" w:cs="Times New Roman"/>
                <w:sz w:val="20"/>
                <w:szCs w:val="20"/>
              </w:rPr>
            </w:pPr>
          </w:p>
          <w:p w14:paraId="71529597" w14:textId="05F643EA" w:rsidR="004A009C" w:rsidRPr="00F446DF" w:rsidRDefault="0065193C" w:rsidP="00E65546">
            <w:pPr>
              <w:ind w:left="4"/>
              <w:jc w:val="center"/>
              <w:rPr>
                <w:sz w:val="24"/>
                <w:szCs w:val="24"/>
              </w:rPr>
            </w:pPr>
            <w:r>
              <w:rPr>
                <w:rFonts w:ascii="Times New Roman" w:eastAsia="Times New Roman" w:hAnsi="Times New Roman" w:cs="Times New Roman"/>
                <w:sz w:val="20"/>
                <w:szCs w:val="20"/>
              </w:rPr>
              <w:t>Nie dotyczy</w:t>
            </w:r>
          </w:p>
        </w:tc>
      </w:tr>
    </w:tbl>
    <w:p w14:paraId="5D70EE9D" w14:textId="77777777" w:rsidR="004A009C" w:rsidRPr="001E358D" w:rsidRDefault="004A009C">
      <w:pPr>
        <w:spacing w:after="0"/>
        <w:ind w:left="-1020" w:right="108"/>
        <w:rPr>
          <w:highlight w:val="yellow"/>
        </w:rPr>
      </w:pPr>
    </w:p>
    <w:tbl>
      <w:tblPr>
        <w:tblStyle w:val="TableGrid"/>
        <w:tblW w:w="9649" w:type="dxa"/>
        <w:tblInd w:w="109" w:type="dxa"/>
        <w:tblCellMar>
          <w:top w:w="59" w:type="dxa"/>
          <w:left w:w="107" w:type="dxa"/>
          <w:right w:w="56" w:type="dxa"/>
        </w:tblCellMar>
        <w:tblLook w:val="04A0" w:firstRow="1" w:lastRow="0" w:firstColumn="1" w:lastColumn="0" w:noHBand="0" w:noVBand="1"/>
      </w:tblPr>
      <w:tblGrid>
        <w:gridCol w:w="2809"/>
        <w:gridCol w:w="3419"/>
        <w:gridCol w:w="3421"/>
      </w:tblGrid>
      <w:tr w:rsidR="004A009C" w:rsidRPr="001E358D" w14:paraId="5F28926A" w14:textId="77777777">
        <w:trPr>
          <w:trHeight w:val="988"/>
        </w:trPr>
        <w:tc>
          <w:tcPr>
            <w:tcW w:w="2809" w:type="dxa"/>
            <w:vMerge w:val="restart"/>
            <w:tcBorders>
              <w:top w:val="single" w:sz="4" w:space="0" w:color="000000"/>
              <w:left w:val="single" w:sz="4" w:space="0" w:color="000000"/>
              <w:bottom w:val="nil"/>
              <w:right w:val="single" w:sz="4" w:space="0" w:color="000000"/>
            </w:tcBorders>
            <w:shd w:val="clear" w:color="auto" w:fill="F3F3F3"/>
          </w:tcPr>
          <w:p w14:paraId="507ED29A" w14:textId="77777777" w:rsidR="004A009C" w:rsidRPr="001E358D" w:rsidRDefault="004A009C">
            <w:pPr>
              <w:rPr>
                <w:highlight w:val="yellow"/>
              </w:rPr>
            </w:pPr>
          </w:p>
        </w:tc>
        <w:tc>
          <w:tcPr>
            <w:tcW w:w="3419" w:type="dxa"/>
            <w:tcBorders>
              <w:top w:val="single" w:sz="4" w:space="0" w:color="000000"/>
              <w:left w:val="single" w:sz="4" w:space="0" w:color="000000"/>
              <w:bottom w:val="single" w:sz="4" w:space="0" w:color="000000"/>
              <w:right w:val="single" w:sz="4" w:space="0" w:color="000000"/>
            </w:tcBorders>
            <w:vAlign w:val="center"/>
          </w:tcPr>
          <w:p w14:paraId="2C62486C" w14:textId="77777777" w:rsidR="004A009C" w:rsidRPr="00C66EC0" w:rsidRDefault="00B365B2">
            <w:pPr>
              <w:ind w:left="2" w:right="51"/>
              <w:jc w:val="both"/>
              <w:rPr>
                <w:sz w:val="20"/>
                <w:szCs w:val="20"/>
              </w:rPr>
            </w:pPr>
            <w:r w:rsidRPr="00C66EC0">
              <w:rPr>
                <w:rFonts w:ascii="Times New Roman" w:eastAsia="Times New Roman" w:hAnsi="Times New Roman" w:cs="Times New Roman"/>
                <w:sz w:val="20"/>
                <w:szCs w:val="20"/>
              </w:rPr>
              <w:t xml:space="preserve">warunki ochrony dziedzictwa kulturowego i zabytków oraz dóbr kultury współczesnej </w:t>
            </w:r>
          </w:p>
        </w:tc>
        <w:tc>
          <w:tcPr>
            <w:tcW w:w="3421" w:type="dxa"/>
            <w:tcBorders>
              <w:top w:val="single" w:sz="4" w:space="0" w:color="000000"/>
              <w:left w:val="single" w:sz="4" w:space="0" w:color="000000"/>
              <w:bottom w:val="single" w:sz="4" w:space="0" w:color="000000"/>
              <w:right w:val="single" w:sz="4" w:space="0" w:color="000000"/>
            </w:tcBorders>
          </w:tcPr>
          <w:p w14:paraId="2A326945" w14:textId="77777777" w:rsidR="00E65546" w:rsidRPr="00C66EC0" w:rsidRDefault="00E65546" w:rsidP="00E65546">
            <w:pPr>
              <w:ind w:left="4"/>
              <w:jc w:val="center"/>
              <w:rPr>
                <w:rFonts w:ascii="Times New Roman" w:eastAsia="Times New Roman" w:hAnsi="Times New Roman" w:cs="Times New Roman"/>
                <w:sz w:val="20"/>
                <w:szCs w:val="20"/>
              </w:rPr>
            </w:pPr>
          </w:p>
          <w:p w14:paraId="51810EFB" w14:textId="523C41C1" w:rsidR="004A009C" w:rsidRPr="00C66EC0" w:rsidRDefault="0065193C" w:rsidP="00E65546">
            <w:pPr>
              <w:ind w:left="4"/>
              <w:jc w:val="center"/>
              <w:rPr>
                <w:sz w:val="20"/>
                <w:szCs w:val="20"/>
              </w:rPr>
            </w:pPr>
            <w:r>
              <w:rPr>
                <w:rFonts w:ascii="Times New Roman" w:eastAsia="Times New Roman" w:hAnsi="Times New Roman" w:cs="Times New Roman"/>
                <w:sz w:val="20"/>
                <w:szCs w:val="20"/>
              </w:rPr>
              <w:t>Nie dotyczy</w:t>
            </w:r>
          </w:p>
        </w:tc>
      </w:tr>
      <w:tr w:rsidR="004A009C" w:rsidRPr="001E358D" w14:paraId="32296D2A" w14:textId="77777777">
        <w:trPr>
          <w:trHeight w:val="1216"/>
        </w:trPr>
        <w:tc>
          <w:tcPr>
            <w:tcW w:w="0" w:type="auto"/>
            <w:vMerge/>
            <w:tcBorders>
              <w:top w:val="nil"/>
              <w:left w:val="single" w:sz="4" w:space="0" w:color="000000"/>
              <w:bottom w:val="nil"/>
              <w:right w:val="single" w:sz="4" w:space="0" w:color="000000"/>
            </w:tcBorders>
          </w:tcPr>
          <w:p w14:paraId="3285E78B" w14:textId="77777777" w:rsidR="004A009C" w:rsidRPr="001E358D" w:rsidRDefault="004A009C">
            <w:pPr>
              <w:rPr>
                <w:highlight w:val="yellow"/>
              </w:rPr>
            </w:pPr>
          </w:p>
        </w:tc>
        <w:tc>
          <w:tcPr>
            <w:tcW w:w="3419" w:type="dxa"/>
            <w:tcBorders>
              <w:top w:val="single" w:sz="4" w:space="0" w:color="000000"/>
              <w:left w:val="single" w:sz="4" w:space="0" w:color="000000"/>
              <w:bottom w:val="single" w:sz="4" w:space="0" w:color="000000"/>
              <w:right w:val="single" w:sz="4" w:space="0" w:color="000000"/>
            </w:tcBorders>
            <w:vAlign w:val="center"/>
          </w:tcPr>
          <w:p w14:paraId="56107CB6" w14:textId="77777777" w:rsidR="004A009C" w:rsidRPr="00C66EC0" w:rsidRDefault="00B365B2">
            <w:pPr>
              <w:ind w:left="2" w:right="51"/>
              <w:jc w:val="both"/>
              <w:rPr>
                <w:sz w:val="20"/>
                <w:szCs w:val="20"/>
              </w:rPr>
            </w:pPr>
            <w:r w:rsidRPr="00C66EC0">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421" w:type="dxa"/>
            <w:tcBorders>
              <w:top w:val="single" w:sz="4" w:space="0" w:color="000000"/>
              <w:left w:val="single" w:sz="4" w:space="0" w:color="000000"/>
              <w:bottom w:val="single" w:sz="4" w:space="0" w:color="000000"/>
              <w:right w:val="single" w:sz="4" w:space="0" w:color="000000"/>
            </w:tcBorders>
          </w:tcPr>
          <w:p w14:paraId="54288B3B" w14:textId="77777777" w:rsidR="004A009C" w:rsidRDefault="004A009C" w:rsidP="00A9336E">
            <w:pPr>
              <w:ind w:left="4"/>
              <w:rPr>
                <w:rFonts w:ascii="Times New Roman" w:hAnsi="Times New Roman" w:cs="Times New Roman"/>
                <w:sz w:val="20"/>
                <w:szCs w:val="20"/>
              </w:rPr>
            </w:pPr>
          </w:p>
          <w:p w14:paraId="65C63027" w14:textId="77777777" w:rsidR="0065193C" w:rsidRDefault="0065193C" w:rsidP="00A9336E">
            <w:pPr>
              <w:ind w:left="4"/>
              <w:rPr>
                <w:rFonts w:ascii="Times New Roman" w:hAnsi="Times New Roman" w:cs="Times New Roman"/>
                <w:sz w:val="20"/>
                <w:szCs w:val="20"/>
              </w:rPr>
            </w:pPr>
          </w:p>
          <w:p w14:paraId="518D3B51" w14:textId="47200195" w:rsidR="0065193C" w:rsidRPr="00C66EC0" w:rsidRDefault="0065193C" w:rsidP="00A9336E">
            <w:pPr>
              <w:ind w:left="4"/>
              <w:rPr>
                <w:rFonts w:ascii="Times New Roman" w:hAnsi="Times New Roman" w:cs="Times New Roman"/>
                <w:sz w:val="20"/>
                <w:szCs w:val="20"/>
              </w:rPr>
            </w:pPr>
            <w:r>
              <w:rPr>
                <w:rFonts w:ascii="Times New Roman" w:hAnsi="Times New Roman" w:cs="Times New Roman"/>
                <w:sz w:val="20"/>
                <w:szCs w:val="20"/>
              </w:rPr>
              <w:t>Nie dotyczy</w:t>
            </w:r>
          </w:p>
        </w:tc>
      </w:tr>
      <w:tr w:rsidR="004A009C" w:rsidRPr="001E358D" w14:paraId="18C20684" w14:textId="77777777">
        <w:trPr>
          <w:trHeight w:val="760"/>
        </w:trPr>
        <w:tc>
          <w:tcPr>
            <w:tcW w:w="2809" w:type="dxa"/>
            <w:vMerge w:val="restart"/>
            <w:tcBorders>
              <w:top w:val="nil"/>
              <w:left w:val="single" w:sz="4" w:space="0" w:color="000000"/>
              <w:bottom w:val="single" w:sz="4" w:space="0" w:color="000000"/>
              <w:right w:val="single" w:sz="4" w:space="0" w:color="000000"/>
            </w:tcBorders>
            <w:shd w:val="clear" w:color="auto" w:fill="F3F3F3"/>
          </w:tcPr>
          <w:p w14:paraId="7A4DBCD2" w14:textId="77777777" w:rsidR="004A009C" w:rsidRPr="001E358D" w:rsidRDefault="004A009C">
            <w:pPr>
              <w:rPr>
                <w:highlight w:val="yellow"/>
              </w:rPr>
            </w:pPr>
          </w:p>
        </w:tc>
        <w:tc>
          <w:tcPr>
            <w:tcW w:w="3419" w:type="dxa"/>
            <w:tcBorders>
              <w:top w:val="single" w:sz="4" w:space="0" w:color="000000"/>
              <w:left w:val="single" w:sz="4" w:space="0" w:color="000000"/>
              <w:bottom w:val="single" w:sz="4" w:space="0" w:color="000000"/>
              <w:right w:val="single" w:sz="4" w:space="0" w:color="000000"/>
            </w:tcBorders>
            <w:vAlign w:val="center"/>
          </w:tcPr>
          <w:p w14:paraId="1351B8F5" w14:textId="77777777" w:rsidR="004A009C" w:rsidRPr="00C66EC0" w:rsidRDefault="00B365B2">
            <w:pPr>
              <w:ind w:left="2"/>
              <w:jc w:val="both"/>
              <w:rPr>
                <w:sz w:val="20"/>
                <w:szCs w:val="20"/>
              </w:rPr>
            </w:pPr>
            <w:r w:rsidRPr="00C66EC0">
              <w:rPr>
                <w:rFonts w:ascii="Times New Roman" w:eastAsia="Times New Roman" w:hAnsi="Times New Roman" w:cs="Times New Roman"/>
                <w:sz w:val="20"/>
                <w:szCs w:val="20"/>
              </w:rPr>
              <w:t xml:space="preserve">warunki i szczegółowe zasady obsługi w zakresie komunikacji </w:t>
            </w:r>
          </w:p>
        </w:tc>
        <w:tc>
          <w:tcPr>
            <w:tcW w:w="3421" w:type="dxa"/>
            <w:tcBorders>
              <w:top w:val="single" w:sz="4" w:space="0" w:color="000000"/>
              <w:left w:val="single" w:sz="4" w:space="0" w:color="000000"/>
              <w:bottom w:val="single" w:sz="4" w:space="0" w:color="000000"/>
              <w:right w:val="single" w:sz="4" w:space="0" w:color="000000"/>
            </w:tcBorders>
          </w:tcPr>
          <w:p w14:paraId="41313B70" w14:textId="73DCA7E4" w:rsidR="007E2199" w:rsidRPr="00C238F9" w:rsidRDefault="00C238F9" w:rsidP="00967CF1">
            <w:pPr>
              <w:ind w:left="4"/>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Teren przeznaczony pod projektowaną inwestycję posiada dostęp do drogi publicznej ul. Mrągowskiej istniejącym zjazdem za pośrednictwem </w:t>
            </w:r>
            <w:r w:rsidR="00B6361C">
              <w:rPr>
                <w:rFonts w:ascii="Times New Roman" w:eastAsia="Times New Roman" w:hAnsi="Times New Roman" w:cs="Times New Roman"/>
                <w:color w:val="000000" w:themeColor="text1"/>
                <w:sz w:val="20"/>
                <w:szCs w:val="20"/>
              </w:rPr>
              <w:t>pasa o szer</w:t>
            </w:r>
            <w:r w:rsidR="00680D5E">
              <w:rPr>
                <w:rFonts w:ascii="Times New Roman" w:eastAsia="Times New Roman" w:hAnsi="Times New Roman" w:cs="Times New Roman"/>
                <w:color w:val="000000" w:themeColor="text1"/>
                <w:sz w:val="20"/>
                <w:szCs w:val="20"/>
              </w:rPr>
              <w:t>okości</w:t>
            </w:r>
            <w:r w:rsidR="00B6361C">
              <w:rPr>
                <w:rFonts w:ascii="Times New Roman" w:eastAsia="Times New Roman" w:hAnsi="Times New Roman" w:cs="Times New Roman"/>
                <w:color w:val="000000" w:themeColor="text1"/>
                <w:sz w:val="20"/>
                <w:szCs w:val="20"/>
              </w:rPr>
              <w:t xml:space="preserve"> 5 m, na </w:t>
            </w:r>
            <w:r>
              <w:rPr>
                <w:rFonts w:ascii="Times New Roman" w:eastAsia="Times New Roman" w:hAnsi="Times New Roman" w:cs="Times New Roman"/>
                <w:color w:val="000000" w:themeColor="text1"/>
                <w:sz w:val="20"/>
                <w:szCs w:val="20"/>
              </w:rPr>
              <w:t>dz</w:t>
            </w:r>
            <w:r w:rsidR="00893CBF">
              <w:rPr>
                <w:rFonts w:ascii="Times New Roman" w:eastAsia="Times New Roman" w:hAnsi="Times New Roman" w:cs="Times New Roman"/>
                <w:color w:val="000000" w:themeColor="text1"/>
                <w:sz w:val="20"/>
                <w:szCs w:val="20"/>
              </w:rPr>
              <w:t>iałce ewidencyjnej o</w:t>
            </w:r>
            <w:r>
              <w:rPr>
                <w:rFonts w:ascii="Times New Roman" w:eastAsia="Times New Roman" w:hAnsi="Times New Roman" w:cs="Times New Roman"/>
                <w:color w:val="000000" w:themeColor="text1"/>
                <w:sz w:val="20"/>
                <w:szCs w:val="20"/>
              </w:rPr>
              <w:t xml:space="preserve"> n</w:t>
            </w:r>
            <w:r w:rsidR="00893CBF">
              <w:rPr>
                <w:rFonts w:ascii="Times New Roman" w:eastAsia="Times New Roman" w:hAnsi="Times New Roman" w:cs="Times New Roman"/>
                <w:color w:val="000000" w:themeColor="text1"/>
                <w:sz w:val="20"/>
                <w:szCs w:val="20"/>
              </w:rPr>
              <w:t>umerze</w:t>
            </w:r>
            <w:r>
              <w:rPr>
                <w:rFonts w:ascii="Times New Roman" w:eastAsia="Times New Roman" w:hAnsi="Times New Roman" w:cs="Times New Roman"/>
                <w:color w:val="000000" w:themeColor="text1"/>
                <w:sz w:val="20"/>
                <w:szCs w:val="20"/>
              </w:rPr>
              <w:t xml:space="preserve"> 11/5 </w:t>
            </w:r>
          </w:p>
        </w:tc>
      </w:tr>
      <w:tr w:rsidR="004A009C" w14:paraId="39D643BF" w14:textId="77777777">
        <w:trPr>
          <w:trHeight w:val="758"/>
        </w:trPr>
        <w:tc>
          <w:tcPr>
            <w:tcW w:w="0" w:type="auto"/>
            <w:vMerge/>
            <w:tcBorders>
              <w:top w:val="nil"/>
              <w:left w:val="single" w:sz="4" w:space="0" w:color="000000"/>
              <w:bottom w:val="single" w:sz="4" w:space="0" w:color="000000"/>
              <w:right w:val="single" w:sz="4" w:space="0" w:color="000000"/>
            </w:tcBorders>
          </w:tcPr>
          <w:p w14:paraId="6680ACB9" w14:textId="77777777" w:rsidR="004A009C" w:rsidRPr="001E358D" w:rsidRDefault="004A009C">
            <w:pPr>
              <w:rPr>
                <w:highlight w:val="yellow"/>
              </w:rPr>
            </w:pPr>
          </w:p>
        </w:tc>
        <w:tc>
          <w:tcPr>
            <w:tcW w:w="3419" w:type="dxa"/>
            <w:tcBorders>
              <w:top w:val="single" w:sz="4" w:space="0" w:color="000000"/>
              <w:left w:val="single" w:sz="4" w:space="0" w:color="000000"/>
              <w:bottom w:val="single" w:sz="4" w:space="0" w:color="000000"/>
              <w:right w:val="single" w:sz="4" w:space="0" w:color="000000"/>
            </w:tcBorders>
            <w:vAlign w:val="center"/>
          </w:tcPr>
          <w:p w14:paraId="716F2CF1" w14:textId="77777777" w:rsidR="004A009C" w:rsidRPr="00C66EC0" w:rsidRDefault="00B365B2">
            <w:pPr>
              <w:ind w:left="2"/>
              <w:jc w:val="both"/>
              <w:rPr>
                <w:sz w:val="20"/>
                <w:szCs w:val="20"/>
              </w:rPr>
            </w:pPr>
            <w:r w:rsidRPr="00C66EC0">
              <w:rPr>
                <w:rFonts w:ascii="Times New Roman" w:eastAsia="Times New Roman" w:hAnsi="Times New Roman" w:cs="Times New Roman"/>
                <w:sz w:val="20"/>
                <w:szCs w:val="20"/>
              </w:rPr>
              <w:t xml:space="preserve">warunki i szczegółowe zasady obsługi w zakresie infrastruktury technicznej </w:t>
            </w:r>
          </w:p>
        </w:tc>
        <w:tc>
          <w:tcPr>
            <w:tcW w:w="3421" w:type="dxa"/>
            <w:tcBorders>
              <w:top w:val="single" w:sz="4" w:space="0" w:color="000000"/>
              <w:left w:val="single" w:sz="4" w:space="0" w:color="000000"/>
              <w:bottom w:val="single" w:sz="4" w:space="0" w:color="000000"/>
              <w:right w:val="single" w:sz="4" w:space="0" w:color="000000"/>
            </w:tcBorders>
          </w:tcPr>
          <w:p w14:paraId="7912C23C" w14:textId="3F498A5D" w:rsidR="00BB6AFC" w:rsidRDefault="00AE254F" w:rsidP="00AE254F">
            <w:pPr>
              <w:rPr>
                <w:rFonts w:ascii="Times New Roman" w:hAnsi="Times New Roman" w:cs="Times New Roman"/>
                <w:sz w:val="20"/>
                <w:szCs w:val="20"/>
              </w:rPr>
            </w:pPr>
            <w:r w:rsidRPr="00C66EC0">
              <w:rPr>
                <w:rFonts w:ascii="Times New Roman" w:hAnsi="Times New Roman" w:cs="Times New Roman"/>
                <w:sz w:val="20"/>
                <w:szCs w:val="20"/>
              </w:rPr>
              <w:t xml:space="preserve">Planowaną inwestycję </w:t>
            </w:r>
            <w:r w:rsidR="000A4B29" w:rsidRPr="00C66EC0">
              <w:rPr>
                <w:rFonts w:ascii="Times New Roman" w:hAnsi="Times New Roman" w:cs="Times New Roman"/>
                <w:sz w:val="20"/>
                <w:szCs w:val="20"/>
              </w:rPr>
              <w:t>bę</w:t>
            </w:r>
            <w:r w:rsidR="00925139" w:rsidRPr="00C66EC0">
              <w:rPr>
                <w:rFonts w:ascii="Times New Roman" w:hAnsi="Times New Roman" w:cs="Times New Roman"/>
                <w:sz w:val="20"/>
                <w:szCs w:val="20"/>
              </w:rPr>
              <w:t>dzie</w:t>
            </w:r>
            <w:r w:rsidRPr="00C66EC0">
              <w:rPr>
                <w:rFonts w:ascii="Times New Roman" w:hAnsi="Times New Roman" w:cs="Times New Roman"/>
                <w:sz w:val="20"/>
                <w:szCs w:val="20"/>
              </w:rPr>
              <w:t xml:space="preserve"> podłącz</w:t>
            </w:r>
            <w:r w:rsidR="000A4B29" w:rsidRPr="00C66EC0">
              <w:rPr>
                <w:rFonts w:ascii="Times New Roman" w:hAnsi="Times New Roman" w:cs="Times New Roman"/>
                <w:sz w:val="20"/>
                <w:szCs w:val="20"/>
              </w:rPr>
              <w:t>on</w:t>
            </w:r>
            <w:r w:rsidR="00925139" w:rsidRPr="00C66EC0">
              <w:rPr>
                <w:rFonts w:ascii="Times New Roman" w:hAnsi="Times New Roman" w:cs="Times New Roman"/>
                <w:sz w:val="20"/>
                <w:szCs w:val="20"/>
              </w:rPr>
              <w:t>o</w:t>
            </w:r>
            <w:r w:rsidRPr="00C66EC0">
              <w:rPr>
                <w:rFonts w:ascii="Times New Roman" w:hAnsi="Times New Roman" w:cs="Times New Roman"/>
                <w:sz w:val="20"/>
                <w:szCs w:val="20"/>
              </w:rPr>
              <w:t xml:space="preserve"> do istniejącej miejskiej sieci</w:t>
            </w:r>
            <w:r w:rsidR="00F97114" w:rsidRPr="00C66EC0">
              <w:rPr>
                <w:rFonts w:ascii="Times New Roman" w:hAnsi="Times New Roman" w:cs="Times New Roman"/>
                <w:sz w:val="20"/>
                <w:szCs w:val="20"/>
              </w:rPr>
              <w:t xml:space="preserve"> inżynieryjnej</w:t>
            </w:r>
            <w:r w:rsidRPr="00C66EC0">
              <w:rPr>
                <w:rFonts w:ascii="Times New Roman" w:hAnsi="Times New Roman" w:cs="Times New Roman"/>
                <w:sz w:val="20"/>
                <w:szCs w:val="20"/>
              </w:rPr>
              <w:t xml:space="preserve"> </w:t>
            </w:r>
            <w:r w:rsidR="00F97114" w:rsidRPr="00C66EC0">
              <w:rPr>
                <w:rFonts w:ascii="Times New Roman" w:hAnsi="Times New Roman" w:cs="Times New Roman"/>
                <w:sz w:val="20"/>
                <w:szCs w:val="20"/>
              </w:rPr>
              <w:t xml:space="preserve">wg umów zawartych między właściwą jednostką organizacyjną, a wnioskodawcą (art. 61 ust 5 ustawy z dnia 27 marca 2003 r. o planowaniu i zagospodarowaniu przestrzennym) w zakresie: </w:t>
            </w:r>
            <w:r w:rsidR="00362B38">
              <w:rPr>
                <w:rFonts w:ascii="Times New Roman" w:hAnsi="Times New Roman" w:cs="Times New Roman"/>
                <w:sz w:val="20"/>
                <w:szCs w:val="20"/>
              </w:rPr>
              <w:t>z</w:t>
            </w:r>
            <w:r w:rsidR="00F97114" w:rsidRPr="00C66EC0">
              <w:rPr>
                <w:rFonts w:ascii="Times New Roman" w:hAnsi="Times New Roman" w:cs="Times New Roman"/>
                <w:sz w:val="20"/>
                <w:szCs w:val="20"/>
              </w:rPr>
              <w:t xml:space="preserve">aopatrzenie w energię elektryczną, </w:t>
            </w:r>
          </w:p>
          <w:p w14:paraId="2F72B2F2" w14:textId="70B2F6D6" w:rsidR="00893CBF" w:rsidRDefault="00680D5E" w:rsidP="00AE254F">
            <w:pPr>
              <w:rPr>
                <w:rFonts w:ascii="Times New Roman" w:hAnsi="Times New Roman" w:cs="Times New Roman"/>
                <w:sz w:val="20"/>
                <w:szCs w:val="20"/>
              </w:rPr>
            </w:pPr>
            <w:r>
              <w:rPr>
                <w:rFonts w:ascii="Times New Roman" w:hAnsi="Times New Roman" w:cs="Times New Roman"/>
                <w:sz w:val="20"/>
                <w:szCs w:val="20"/>
              </w:rPr>
              <w:t>z</w:t>
            </w:r>
            <w:r w:rsidR="00893CBF">
              <w:rPr>
                <w:rFonts w:ascii="Times New Roman" w:hAnsi="Times New Roman" w:cs="Times New Roman"/>
                <w:sz w:val="20"/>
                <w:szCs w:val="20"/>
              </w:rPr>
              <w:t>aopatrzenie w gaz,</w:t>
            </w:r>
          </w:p>
          <w:p w14:paraId="511BFD6E" w14:textId="0109D982" w:rsidR="00F97114" w:rsidRPr="00C66EC0" w:rsidRDefault="00F97114" w:rsidP="00AE254F">
            <w:pPr>
              <w:rPr>
                <w:rFonts w:ascii="Times New Roman" w:hAnsi="Times New Roman" w:cs="Times New Roman"/>
                <w:sz w:val="20"/>
                <w:szCs w:val="20"/>
              </w:rPr>
            </w:pPr>
            <w:r w:rsidRPr="00C66EC0">
              <w:rPr>
                <w:rFonts w:ascii="Times New Roman" w:hAnsi="Times New Roman" w:cs="Times New Roman"/>
                <w:sz w:val="20"/>
                <w:szCs w:val="20"/>
              </w:rPr>
              <w:t>zaopatrzenie w wodę</w:t>
            </w:r>
            <w:r w:rsidR="00B6361C">
              <w:rPr>
                <w:rFonts w:ascii="Times New Roman" w:hAnsi="Times New Roman" w:cs="Times New Roman"/>
                <w:sz w:val="20"/>
                <w:szCs w:val="20"/>
              </w:rPr>
              <w:t>.</w:t>
            </w:r>
          </w:p>
        </w:tc>
      </w:tr>
      <w:tr w:rsidR="004A009C" w14:paraId="13CC4E82" w14:textId="77777777">
        <w:trPr>
          <w:trHeight w:val="759"/>
        </w:trPr>
        <w:tc>
          <w:tcPr>
            <w:tcW w:w="280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BF1C79B" w14:textId="77777777" w:rsidR="004A009C" w:rsidRDefault="00B365B2">
            <w:pPr>
              <w:spacing w:after="185"/>
              <w:ind w:right="305"/>
            </w:pPr>
            <w:r>
              <w:rPr>
                <w:rFonts w:ascii="Times New Roman" w:eastAsia="Times New Roman" w:hAnsi="Times New Roman" w:cs="Times New Roman"/>
                <w:sz w:val="20"/>
              </w:rPr>
              <w:t>Informacje dotyczące przewidzianych inwestycji w promieniu 1 km od terenu objętego przedsięwzięciem deweloperskim lub zadaniem inwestycyjnym</w:t>
            </w:r>
            <w:r>
              <w:rPr>
                <w:rFonts w:ascii="Times New Roman" w:eastAsia="Times New Roman" w:hAnsi="Times New Roman" w:cs="Times New Roman"/>
                <w:sz w:val="20"/>
                <w:vertAlign w:val="superscript"/>
              </w:rPr>
              <w:footnoteReference w:id="4"/>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zawarte w: </w:t>
            </w:r>
          </w:p>
          <w:p w14:paraId="3583819E" w14:textId="77777777" w:rsidR="004A009C" w:rsidRDefault="00B365B2">
            <w:r>
              <w:rPr>
                <w:rFonts w:ascii="Times New Roman" w:eastAsia="Times New Roman" w:hAnsi="Times New Roman" w:cs="Times New Roman"/>
                <w:sz w:val="20"/>
              </w:rPr>
              <w:t xml:space="preserve"> </w:t>
            </w:r>
          </w:p>
        </w:tc>
        <w:tc>
          <w:tcPr>
            <w:tcW w:w="3419" w:type="dxa"/>
            <w:tcBorders>
              <w:top w:val="single" w:sz="4" w:space="0" w:color="000000"/>
              <w:left w:val="single" w:sz="4" w:space="0" w:color="000000"/>
              <w:bottom w:val="single" w:sz="4" w:space="0" w:color="000000"/>
              <w:right w:val="single" w:sz="4" w:space="0" w:color="000000"/>
            </w:tcBorders>
            <w:vAlign w:val="center"/>
          </w:tcPr>
          <w:p w14:paraId="11104B11" w14:textId="77777777" w:rsidR="004A009C" w:rsidRPr="00C66EC0" w:rsidRDefault="00B365B2">
            <w:pPr>
              <w:ind w:left="2"/>
              <w:jc w:val="both"/>
              <w:rPr>
                <w:sz w:val="20"/>
                <w:szCs w:val="20"/>
              </w:rPr>
            </w:pPr>
            <w:r w:rsidRPr="00C66EC0">
              <w:rPr>
                <w:rFonts w:ascii="Times New Roman" w:eastAsia="Times New Roman" w:hAnsi="Times New Roman" w:cs="Times New Roman"/>
                <w:sz w:val="20"/>
                <w:szCs w:val="20"/>
              </w:rPr>
              <w:t xml:space="preserve">miejscowych planach zagospodarowania przestrzennego </w:t>
            </w:r>
          </w:p>
        </w:tc>
        <w:tc>
          <w:tcPr>
            <w:tcW w:w="3421" w:type="dxa"/>
            <w:tcBorders>
              <w:top w:val="single" w:sz="4" w:space="0" w:color="000000"/>
              <w:left w:val="single" w:sz="4" w:space="0" w:color="000000"/>
              <w:bottom w:val="single" w:sz="4" w:space="0" w:color="000000"/>
              <w:right w:val="single" w:sz="4" w:space="0" w:color="000000"/>
            </w:tcBorders>
          </w:tcPr>
          <w:p w14:paraId="0C3A0903"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391C7549" w14:textId="5D807016" w:rsidR="00C66EC0" w:rsidRPr="00C66EC0" w:rsidRDefault="00C66EC0">
            <w:pPr>
              <w:ind w:left="4"/>
              <w:rPr>
                <w:rFonts w:ascii="Times New Roman" w:hAnsi="Times New Roman" w:cs="Times New Roman"/>
                <w:sz w:val="20"/>
                <w:szCs w:val="20"/>
              </w:rPr>
            </w:pPr>
            <w:r w:rsidRPr="00C66EC0">
              <w:rPr>
                <w:rFonts w:ascii="Times New Roman" w:hAnsi="Times New Roman" w:cs="Times New Roman"/>
                <w:sz w:val="20"/>
                <w:szCs w:val="20"/>
              </w:rPr>
              <w:t>brak</w:t>
            </w:r>
          </w:p>
        </w:tc>
      </w:tr>
      <w:tr w:rsidR="004A009C" w14:paraId="4C532E4E" w14:textId="77777777">
        <w:trPr>
          <w:trHeight w:val="758"/>
        </w:trPr>
        <w:tc>
          <w:tcPr>
            <w:tcW w:w="0" w:type="auto"/>
            <w:vMerge/>
            <w:tcBorders>
              <w:top w:val="nil"/>
              <w:left w:val="single" w:sz="4" w:space="0" w:color="000000"/>
              <w:bottom w:val="nil"/>
              <w:right w:val="single" w:sz="4" w:space="0" w:color="000000"/>
            </w:tcBorders>
          </w:tcPr>
          <w:p w14:paraId="1FEC94AA"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52100384" w14:textId="21F15AB5" w:rsidR="004A009C" w:rsidRPr="00C66EC0" w:rsidRDefault="00B365B2">
            <w:pPr>
              <w:ind w:left="2"/>
              <w:jc w:val="both"/>
              <w:rPr>
                <w:sz w:val="20"/>
                <w:szCs w:val="20"/>
              </w:rPr>
            </w:pPr>
            <w:r w:rsidRPr="00C66EC0">
              <w:rPr>
                <w:rFonts w:ascii="Times New Roman" w:eastAsia="Times New Roman" w:hAnsi="Times New Roman" w:cs="Times New Roman"/>
                <w:sz w:val="20"/>
                <w:szCs w:val="20"/>
              </w:rPr>
              <w:t xml:space="preserve">studium uwarunkowań i kierunków zagospodarowania przestrzennego gminy  </w:t>
            </w:r>
          </w:p>
        </w:tc>
        <w:tc>
          <w:tcPr>
            <w:tcW w:w="3421" w:type="dxa"/>
            <w:tcBorders>
              <w:top w:val="single" w:sz="4" w:space="0" w:color="000000"/>
              <w:left w:val="single" w:sz="4" w:space="0" w:color="000000"/>
              <w:bottom w:val="single" w:sz="4" w:space="0" w:color="000000"/>
              <w:right w:val="single" w:sz="4" w:space="0" w:color="000000"/>
            </w:tcBorders>
          </w:tcPr>
          <w:p w14:paraId="4B63BCEA" w14:textId="46D2AED4" w:rsidR="004A009C" w:rsidRDefault="00B365B2">
            <w:pPr>
              <w:ind w:left="4"/>
            </w:pPr>
            <w:r>
              <w:rPr>
                <w:rFonts w:ascii="Times New Roman" w:eastAsia="Times New Roman" w:hAnsi="Times New Roman" w:cs="Times New Roman"/>
                <w:sz w:val="20"/>
              </w:rPr>
              <w:t xml:space="preserve"> </w:t>
            </w:r>
            <w:r w:rsidR="00C66EC0" w:rsidRPr="00C66EC0">
              <w:rPr>
                <w:rFonts w:ascii="Times New Roman" w:hAnsi="Times New Roman" w:cs="Times New Roman"/>
                <w:sz w:val="20"/>
                <w:szCs w:val="20"/>
              </w:rPr>
              <w:t>brak</w:t>
            </w:r>
          </w:p>
        </w:tc>
      </w:tr>
      <w:tr w:rsidR="004A009C" w14:paraId="17557CCC" w14:textId="77777777">
        <w:trPr>
          <w:trHeight w:val="528"/>
        </w:trPr>
        <w:tc>
          <w:tcPr>
            <w:tcW w:w="0" w:type="auto"/>
            <w:vMerge/>
            <w:tcBorders>
              <w:top w:val="nil"/>
              <w:left w:val="single" w:sz="4" w:space="0" w:color="000000"/>
              <w:bottom w:val="nil"/>
              <w:right w:val="single" w:sz="4" w:space="0" w:color="000000"/>
            </w:tcBorders>
          </w:tcPr>
          <w:p w14:paraId="2E244340"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tcPr>
          <w:p w14:paraId="4034AAB8" w14:textId="77777777" w:rsidR="004A009C" w:rsidRDefault="00B365B2">
            <w:pPr>
              <w:ind w:left="2" w:right="406"/>
            </w:pPr>
            <w:r>
              <w:rPr>
                <w:rFonts w:ascii="Times New Roman" w:eastAsia="Times New Roman" w:hAnsi="Times New Roman" w:cs="Times New Roman"/>
                <w:sz w:val="20"/>
              </w:rPr>
              <w:t xml:space="preserve">decyzjach o warunkach zabudowy i zagospodarowania terenu </w:t>
            </w:r>
          </w:p>
        </w:tc>
        <w:tc>
          <w:tcPr>
            <w:tcW w:w="3421" w:type="dxa"/>
            <w:tcBorders>
              <w:top w:val="single" w:sz="4" w:space="0" w:color="000000"/>
              <w:left w:val="single" w:sz="4" w:space="0" w:color="000000"/>
              <w:bottom w:val="single" w:sz="4" w:space="0" w:color="000000"/>
              <w:right w:val="single" w:sz="4" w:space="0" w:color="000000"/>
            </w:tcBorders>
            <w:vAlign w:val="center"/>
          </w:tcPr>
          <w:p w14:paraId="3F861EB9" w14:textId="128F3D89" w:rsidR="004A009C" w:rsidRPr="00C66EC0" w:rsidRDefault="00B365B2">
            <w:pPr>
              <w:ind w:left="4"/>
              <w:rPr>
                <w:b/>
                <w:bCs/>
              </w:rPr>
            </w:pPr>
            <w:r>
              <w:rPr>
                <w:rFonts w:ascii="Times New Roman" w:eastAsia="Times New Roman" w:hAnsi="Times New Roman" w:cs="Times New Roman"/>
                <w:sz w:val="20"/>
              </w:rPr>
              <w:t xml:space="preserve"> </w:t>
            </w:r>
            <w:r w:rsidR="00C66EC0" w:rsidRPr="00C66EC0">
              <w:rPr>
                <w:rFonts w:ascii="Times New Roman" w:hAnsi="Times New Roman" w:cs="Times New Roman"/>
                <w:sz w:val="20"/>
                <w:szCs w:val="20"/>
              </w:rPr>
              <w:t>brak</w:t>
            </w:r>
          </w:p>
        </w:tc>
      </w:tr>
      <w:tr w:rsidR="004A009C" w14:paraId="23BA05F2" w14:textId="77777777">
        <w:trPr>
          <w:trHeight w:val="758"/>
        </w:trPr>
        <w:tc>
          <w:tcPr>
            <w:tcW w:w="0" w:type="auto"/>
            <w:vMerge/>
            <w:tcBorders>
              <w:top w:val="nil"/>
              <w:left w:val="single" w:sz="4" w:space="0" w:color="000000"/>
              <w:bottom w:val="nil"/>
              <w:right w:val="single" w:sz="4" w:space="0" w:color="000000"/>
            </w:tcBorders>
          </w:tcPr>
          <w:p w14:paraId="45A14C91"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580321D4" w14:textId="77777777" w:rsidR="004A009C" w:rsidRDefault="00B365B2">
            <w:pPr>
              <w:ind w:left="2"/>
            </w:pPr>
            <w:r>
              <w:rPr>
                <w:rFonts w:ascii="Times New Roman" w:eastAsia="Times New Roman" w:hAnsi="Times New Roman" w:cs="Times New Roman"/>
                <w:sz w:val="20"/>
              </w:rPr>
              <w:t xml:space="preserve">decyzjach o środowiskowych uwarunkowaniach </w:t>
            </w:r>
          </w:p>
        </w:tc>
        <w:tc>
          <w:tcPr>
            <w:tcW w:w="3421" w:type="dxa"/>
            <w:tcBorders>
              <w:top w:val="single" w:sz="4" w:space="0" w:color="000000"/>
              <w:left w:val="single" w:sz="4" w:space="0" w:color="000000"/>
              <w:bottom w:val="single" w:sz="4" w:space="0" w:color="000000"/>
              <w:right w:val="single" w:sz="4" w:space="0" w:color="000000"/>
            </w:tcBorders>
          </w:tcPr>
          <w:p w14:paraId="3A05FB16"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0B35A2FA" w14:textId="127E4B2B" w:rsidR="00C66EC0" w:rsidRDefault="00C66EC0">
            <w:pPr>
              <w:ind w:left="4"/>
            </w:pPr>
            <w:r w:rsidRPr="00C66EC0">
              <w:rPr>
                <w:rFonts w:ascii="Times New Roman" w:hAnsi="Times New Roman" w:cs="Times New Roman"/>
                <w:sz w:val="20"/>
                <w:szCs w:val="20"/>
              </w:rPr>
              <w:t>brak</w:t>
            </w:r>
          </w:p>
        </w:tc>
      </w:tr>
      <w:tr w:rsidR="004A009C" w14:paraId="043EE6DE" w14:textId="77777777">
        <w:trPr>
          <w:trHeight w:val="756"/>
        </w:trPr>
        <w:tc>
          <w:tcPr>
            <w:tcW w:w="0" w:type="auto"/>
            <w:vMerge/>
            <w:tcBorders>
              <w:top w:val="nil"/>
              <w:left w:val="single" w:sz="4" w:space="0" w:color="000000"/>
              <w:bottom w:val="nil"/>
              <w:right w:val="single" w:sz="4" w:space="0" w:color="000000"/>
            </w:tcBorders>
          </w:tcPr>
          <w:p w14:paraId="3282E670"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62CF2223" w14:textId="77777777" w:rsidR="004A009C" w:rsidRDefault="00B365B2">
            <w:pPr>
              <w:ind w:left="2"/>
            </w:pPr>
            <w:r>
              <w:rPr>
                <w:rFonts w:ascii="Times New Roman" w:eastAsia="Times New Roman" w:hAnsi="Times New Roman" w:cs="Times New Roman"/>
                <w:sz w:val="20"/>
              </w:rPr>
              <w:t xml:space="preserve">uchwałach o obszarach ograniczonego użytkowania </w:t>
            </w:r>
          </w:p>
        </w:tc>
        <w:tc>
          <w:tcPr>
            <w:tcW w:w="3421" w:type="dxa"/>
            <w:tcBorders>
              <w:top w:val="single" w:sz="4" w:space="0" w:color="000000"/>
              <w:left w:val="single" w:sz="4" w:space="0" w:color="000000"/>
              <w:bottom w:val="single" w:sz="4" w:space="0" w:color="000000"/>
              <w:right w:val="single" w:sz="4" w:space="0" w:color="000000"/>
            </w:tcBorders>
          </w:tcPr>
          <w:p w14:paraId="02160D38"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3F5D958C" w14:textId="2305E19B" w:rsidR="00C66EC0" w:rsidRDefault="00C66EC0">
            <w:pPr>
              <w:ind w:left="4"/>
            </w:pPr>
            <w:r w:rsidRPr="00C66EC0">
              <w:rPr>
                <w:rFonts w:ascii="Times New Roman" w:hAnsi="Times New Roman" w:cs="Times New Roman"/>
                <w:sz w:val="20"/>
                <w:szCs w:val="20"/>
              </w:rPr>
              <w:t>brak</w:t>
            </w:r>
          </w:p>
        </w:tc>
      </w:tr>
      <w:tr w:rsidR="004A009C" w14:paraId="241237A5" w14:textId="77777777">
        <w:trPr>
          <w:trHeight w:val="528"/>
        </w:trPr>
        <w:tc>
          <w:tcPr>
            <w:tcW w:w="0" w:type="auto"/>
            <w:vMerge/>
            <w:tcBorders>
              <w:top w:val="nil"/>
              <w:left w:val="single" w:sz="4" w:space="0" w:color="000000"/>
              <w:bottom w:val="nil"/>
              <w:right w:val="single" w:sz="4" w:space="0" w:color="000000"/>
            </w:tcBorders>
          </w:tcPr>
          <w:p w14:paraId="7C2B7F4D"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BBFB711" w14:textId="77777777" w:rsidR="004A009C" w:rsidRDefault="00B365B2">
            <w:pPr>
              <w:ind w:left="2"/>
            </w:pPr>
            <w:r>
              <w:rPr>
                <w:rFonts w:ascii="Times New Roman" w:eastAsia="Times New Roman" w:hAnsi="Times New Roman" w:cs="Times New Roman"/>
                <w:sz w:val="20"/>
              </w:rPr>
              <w:t xml:space="preserve">miejscowych planach odbudowy </w:t>
            </w:r>
          </w:p>
        </w:tc>
        <w:tc>
          <w:tcPr>
            <w:tcW w:w="3421" w:type="dxa"/>
            <w:tcBorders>
              <w:top w:val="single" w:sz="4" w:space="0" w:color="000000"/>
              <w:left w:val="single" w:sz="4" w:space="0" w:color="000000"/>
              <w:bottom w:val="single" w:sz="4" w:space="0" w:color="000000"/>
              <w:right w:val="single" w:sz="4" w:space="0" w:color="000000"/>
            </w:tcBorders>
            <w:vAlign w:val="center"/>
          </w:tcPr>
          <w:p w14:paraId="74DED805" w14:textId="33ACBCFF" w:rsidR="004A009C" w:rsidRDefault="00B365B2">
            <w:pPr>
              <w:ind w:left="4"/>
            </w:pPr>
            <w:r>
              <w:rPr>
                <w:rFonts w:ascii="Times New Roman" w:eastAsia="Times New Roman" w:hAnsi="Times New Roman" w:cs="Times New Roman"/>
                <w:sz w:val="20"/>
              </w:rPr>
              <w:t xml:space="preserve"> </w:t>
            </w:r>
            <w:r w:rsidR="00C66EC0" w:rsidRPr="00C66EC0">
              <w:rPr>
                <w:rFonts w:ascii="Times New Roman" w:hAnsi="Times New Roman" w:cs="Times New Roman"/>
                <w:sz w:val="20"/>
                <w:szCs w:val="20"/>
              </w:rPr>
              <w:t>brak</w:t>
            </w:r>
          </w:p>
        </w:tc>
      </w:tr>
      <w:tr w:rsidR="004A009C" w14:paraId="48527957" w14:textId="77777777">
        <w:trPr>
          <w:trHeight w:val="758"/>
        </w:trPr>
        <w:tc>
          <w:tcPr>
            <w:tcW w:w="0" w:type="auto"/>
            <w:vMerge/>
            <w:tcBorders>
              <w:top w:val="nil"/>
              <w:left w:val="single" w:sz="4" w:space="0" w:color="000000"/>
              <w:bottom w:val="nil"/>
              <w:right w:val="single" w:sz="4" w:space="0" w:color="000000"/>
            </w:tcBorders>
          </w:tcPr>
          <w:p w14:paraId="69ED8A48"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58DEE816" w14:textId="77777777" w:rsidR="004A009C" w:rsidRDefault="00B365B2">
            <w:pPr>
              <w:ind w:left="2"/>
              <w:jc w:val="both"/>
            </w:pPr>
            <w:r>
              <w:rPr>
                <w:rFonts w:ascii="Times New Roman" w:eastAsia="Times New Roman" w:hAnsi="Times New Roman" w:cs="Times New Roman"/>
                <w:sz w:val="20"/>
              </w:rPr>
              <w:t xml:space="preserve">mapach zagrożenia powodziowego i mapach ryzyka powodziowego </w:t>
            </w:r>
          </w:p>
        </w:tc>
        <w:tc>
          <w:tcPr>
            <w:tcW w:w="3421" w:type="dxa"/>
            <w:tcBorders>
              <w:top w:val="single" w:sz="4" w:space="0" w:color="000000"/>
              <w:left w:val="single" w:sz="4" w:space="0" w:color="000000"/>
              <w:bottom w:val="single" w:sz="4" w:space="0" w:color="000000"/>
              <w:right w:val="single" w:sz="4" w:space="0" w:color="000000"/>
            </w:tcBorders>
          </w:tcPr>
          <w:p w14:paraId="6BBD056A"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7A7A7E76" w14:textId="4D85B73B" w:rsidR="00C66EC0" w:rsidRDefault="00C66EC0">
            <w:pPr>
              <w:ind w:left="4"/>
            </w:pPr>
            <w:r w:rsidRPr="00C66EC0">
              <w:rPr>
                <w:rFonts w:ascii="Times New Roman" w:hAnsi="Times New Roman" w:cs="Times New Roman"/>
                <w:sz w:val="20"/>
                <w:szCs w:val="20"/>
              </w:rPr>
              <w:t>brak</w:t>
            </w:r>
          </w:p>
        </w:tc>
      </w:tr>
      <w:tr w:rsidR="004A009C" w14:paraId="3D137083" w14:textId="77777777">
        <w:trPr>
          <w:trHeight w:val="941"/>
        </w:trPr>
        <w:tc>
          <w:tcPr>
            <w:tcW w:w="0" w:type="auto"/>
            <w:vMerge/>
            <w:tcBorders>
              <w:top w:val="nil"/>
              <w:left w:val="single" w:sz="4" w:space="0" w:color="000000"/>
              <w:bottom w:val="nil"/>
              <w:right w:val="single" w:sz="4" w:space="0" w:color="000000"/>
            </w:tcBorders>
          </w:tcPr>
          <w:p w14:paraId="1F05DDD7" w14:textId="77777777" w:rsidR="004A009C" w:rsidRDefault="004A009C"/>
        </w:tc>
        <w:tc>
          <w:tcPr>
            <w:tcW w:w="6840" w:type="dxa"/>
            <w:gridSpan w:val="2"/>
            <w:tcBorders>
              <w:top w:val="single" w:sz="4" w:space="0" w:color="000000"/>
              <w:left w:val="single" w:sz="4" w:space="0" w:color="000000"/>
              <w:bottom w:val="single" w:sz="4" w:space="0" w:color="000000"/>
              <w:right w:val="single" w:sz="4" w:space="0" w:color="000000"/>
            </w:tcBorders>
            <w:vAlign w:val="center"/>
          </w:tcPr>
          <w:p w14:paraId="3F1C55C6" w14:textId="77777777" w:rsidR="004A009C" w:rsidRDefault="00B365B2">
            <w:pPr>
              <w:ind w:left="2" w:right="53"/>
              <w:jc w:val="both"/>
            </w:pPr>
            <w:r>
              <w:rPr>
                <w:rFonts w:ascii="Times New Roman" w:eastAsia="Times New Roman" w:hAnsi="Times New Roman" w:cs="Times New Roman"/>
                <w:sz w:val="20"/>
              </w:rPr>
              <w:t xml:space="preserve">Ustalenia decyzji w zakresie rozmieszczenia inwestycji celu publicznego, mogące mieć znaczenie dla terenu objętego przedsięwzięciem deweloperskim lub zadaniem inwestycyjnym: </w:t>
            </w:r>
          </w:p>
        </w:tc>
      </w:tr>
      <w:tr w:rsidR="004A009C" w14:paraId="5C51D67F" w14:textId="77777777">
        <w:trPr>
          <w:trHeight w:val="758"/>
        </w:trPr>
        <w:tc>
          <w:tcPr>
            <w:tcW w:w="0" w:type="auto"/>
            <w:vMerge/>
            <w:tcBorders>
              <w:top w:val="nil"/>
              <w:left w:val="single" w:sz="4" w:space="0" w:color="000000"/>
              <w:bottom w:val="nil"/>
              <w:right w:val="single" w:sz="4" w:space="0" w:color="000000"/>
            </w:tcBorders>
          </w:tcPr>
          <w:p w14:paraId="2DD0146D"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2AC7457" w14:textId="77777777" w:rsidR="004A009C" w:rsidRDefault="00B365B2">
            <w:pPr>
              <w:ind w:left="2"/>
              <w:jc w:val="both"/>
            </w:pPr>
            <w:r>
              <w:rPr>
                <w:rFonts w:ascii="Times New Roman" w:eastAsia="Times New Roman" w:hAnsi="Times New Roman" w:cs="Times New Roman"/>
                <w:sz w:val="20"/>
              </w:rPr>
              <w:t xml:space="preserve">decyzja o zezwoleniu na realizację inwestycji drogowej </w:t>
            </w:r>
          </w:p>
        </w:tc>
        <w:tc>
          <w:tcPr>
            <w:tcW w:w="3421" w:type="dxa"/>
            <w:tcBorders>
              <w:top w:val="single" w:sz="4" w:space="0" w:color="000000"/>
              <w:left w:val="single" w:sz="4" w:space="0" w:color="000000"/>
              <w:bottom w:val="single" w:sz="4" w:space="0" w:color="000000"/>
              <w:right w:val="single" w:sz="4" w:space="0" w:color="000000"/>
            </w:tcBorders>
          </w:tcPr>
          <w:p w14:paraId="4B393560"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4CF7DFCF" w14:textId="6F0F4217" w:rsidR="00C66EC0" w:rsidRPr="00C66EC0" w:rsidRDefault="00C66EC0">
            <w:pPr>
              <w:ind w:left="4"/>
              <w:rPr>
                <w:rFonts w:ascii="Times New Roman" w:hAnsi="Times New Roman" w:cs="Times New Roman"/>
                <w:sz w:val="20"/>
                <w:szCs w:val="20"/>
              </w:rPr>
            </w:pPr>
            <w:r w:rsidRPr="00C66EC0">
              <w:rPr>
                <w:rFonts w:ascii="Times New Roman" w:hAnsi="Times New Roman" w:cs="Times New Roman"/>
                <w:sz w:val="20"/>
                <w:szCs w:val="20"/>
              </w:rPr>
              <w:t>brak</w:t>
            </w:r>
          </w:p>
        </w:tc>
      </w:tr>
      <w:tr w:rsidR="004A009C" w14:paraId="2A9E500A" w14:textId="77777777">
        <w:trPr>
          <w:trHeight w:val="757"/>
        </w:trPr>
        <w:tc>
          <w:tcPr>
            <w:tcW w:w="0" w:type="auto"/>
            <w:vMerge/>
            <w:tcBorders>
              <w:top w:val="nil"/>
              <w:left w:val="single" w:sz="4" w:space="0" w:color="000000"/>
              <w:bottom w:val="nil"/>
              <w:right w:val="single" w:sz="4" w:space="0" w:color="000000"/>
            </w:tcBorders>
          </w:tcPr>
          <w:p w14:paraId="4A9EBF38"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471AB590" w14:textId="77777777" w:rsidR="004A009C" w:rsidRDefault="00B365B2">
            <w:pPr>
              <w:ind w:left="2"/>
            </w:pPr>
            <w:r>
              <w:rPr>
                <w:rFonts w:ascii="Times New Roman" w:eastAsia="Times New Roman" w:hAnsi="Times New Roman" w:cs="Times New Roman"/>
                <w:sz w:val="20"/>
              </w:rPr>
              <w:t xml:space="preserve">decyzja o ustaleniu lokalizacji linii kolejowej </w:t>
            </w:r>
          </w:p>
        </w:tc>
        <w:tc>
          <w:tcPr>
            <w:tcW w:w="3421" w:type="dxa"/>
            <w:tcBorders>
              <w:top w:val="single" w:sz="4" w:space="0" w:color="000000"/>
              <w:left w:val="single" w:sz="4" w:space="0" w:color="000000"/>
              <w:bottom w:val="single" w:sz="4" w:space="0" w:color="000000"/>
              <w:right w:val="single" w:sz="4" w:space="0" w:color="000000"/>
            </w:tcBorders>
          </w:tcPr>
          <w:p w14:paraId="32CA3B17"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66B43691" w14:textId="1349A2C5" w:rsidR="00C66EC0" w:rsidRDefault="00C66EC0">
            <w:pPr>
              <w:ind w:left="4"/>
            </w:pPr>
            <w:r w:rsidRPr="00C66EC0">
              <w:rPr>
                <w:rFonts w:ascii="Times New Roman" w:hAnsi="Times New Roman" w:cs="Times New Roman"/>
                <w:sz w:val="20"/>
                <w:szCs w:val="20"/>
              </w:rPr>
              <w:t>brak</w:t>
            </w:r>
          </w:p>
        </w:tc>
      </w:tr>
      <w:tr w:rsidR="004A009C" w14:paraId="37DA1FD9" w14:textId="77777777">
        <w:trPr>
          <w:trHeight w:val="989"/>
        </w:trPr>
        <w:tc>
          <w:tcPr>
            <w:tcW w:w="0" w:type="auto"/>
            <w:vMerge/>
            <w:tcBorders>
              <w:top w:val="nil"/>
              <w:left w:val="single" w:sz="4" w:space="0" w:color="000000"/>
              <w:bottom w:val="nil"/>
              <w:right w:val="single" w:sz="4" w:space="0" w:color="000000"/>
            </w:tcBorders>
          </w:tcPr>
          <w:p w14:paraId="167150AC"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1430A370" w14:textId="77777777" w:rsidR="004A009C" w:rsidRDefault="00B365B2">
            <w:pPr>
              <w:ind w:left="2" w:right="51"/>
              <w:jc w:val="both"/>
            </w:pPr>
            <w:r>
              <w:rPr>
                <w:rFonts w:ascii="Times New Roman" w:eastAsia="Times New Roman" w:hAnsi="Times New Roman" w:cs="Times New Roman"/>
                <w:sz w:val="20"/>
              </w:rPr>
              <w:t xml:space="preserve">decyzja o zezwoleniu na realizację inwestycji w zakresie lotniska użytku publicznego </w:t>
            </w:r>
          </w:p>
        </w:tc>
        <w:tc>
          <w:tcPr>
            <w:tcW w:w="3421" w:type="dxa"/>
            <w:tcBorders>
              <w:top w:val="single" w:sz="4" w:space="0" w:color="000000"/>
              <w:left w:val="single" w:sz="4" w:space="0" w:color="000000"/>
              <w:bottom w:val="single" w:sz="4" w:space="0" w:color="000000"/>
              <w:right w:val="single" w:sz="4" w:space="0" w:color="000000"/>
            </w:tcBorders>
          </w:tcPr>
          <w:p w14:paraId="3FE4D17A"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28FAC812" w14:textId="4844FE3A" w:rsidR="00C66EC0" w:rsidRDefault="00C66EC0">
            <w:pPr>
              <w:ind w:left="4"/>
            </w:pPr>
            <w:r w:rsidRPr="00C66EC0">
              <w:rPr>
                <w:rFonts w:ascii="Times New Roman" w:hAnsi="Times New Roman" w:cs="Times New Roman"/>
                <w:sz w:val="20"/>
                <w:szCs w:val="20"/>
              </w:rPr>
              <w:t>brak</w:t>
            </w:r>
          </w:p>
        </w:tc>
      </w:tr>
      <w:tr w:rsidR="004A009C" w14:paraId="410595C9" w14:textId="77777777">
        <w:trPr>
          <w:trHeight w:val="988"/>
        </w:trPr>
        <w:tc>
          <w:tcPr>
            <w:tcW w:w="0" w:type="auto"/>
            <w:vMerge/>
            <w:tcBorders>
              <w:top w:val="nil"/>
              <w:left w:val="single" w:sz="4" w:space="0" w:color="000000"/>
              <w:bottom w:val="single" w:sz="4" w:space="0" w:color="000000"/>
              <w:right w:val="single" w:sz="4" w:space="0" w:color="000000"/>
            </w:tcBorders>
          </w:tcPr>
          <w:p w14:paraId="4604A258"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3AD4F3FE" w14:textId="77777777" w:rsidR="004A009C" w:rsidRDefault="00B365B2">
            <w:pPr>
              <w:ind w:left="2" w:right="51"/>
              <w:jc w:val="both"/>
            </w:pPr>
            <w:r>
              <w:rPr>
                <w:rFonts w:ascii="Times New Roman" w:eastAsia="Times New Roman" w:hAnsi="Times New Roman" w:cs="Times New Roman"/>
                <w:sz w:val="20"/>
              </w:rPr>
              <w:t xml:space="preserve">decyzja o pozwoleniu na realizację inwestycji w zakresie budowli przeciwpowodziowych </w:t>
            </w:r>
          </w:p>
        </w:tc>
        <w:tc>
          <w:tcPr>
            <w:tcW w:w="3421" w:type="dxa"/>
            <w:tcBorders>
              <w:top w:val="single" w:sz="4" w:space="0" w:color="000000"/>
              <w:left w:val="single" w:sz="4" w:space="0" w:color="000000"/>
              <w:bottom w:val="single" w:sz="4" w:space="0" w:color="000000"/>
              <w:right w:val="single" w:sz="4" w:space="0" w:color="000000"/>
            </w:tcBorders>
          </w:tcPr>
          <w:p w14:paraId="34CAC194"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16A131F1" w14:textId="61710CC7" w:rsidR="00C66EC0" w:rsidRDefault="00C66EC0">
            <w:pPr>
              <w:ind w:left="4"/>
            </w:pPr>
            <w:r w:rsidRPr="00C66EC0">
              <w:rPr>
                <w:rFonts w:ascii="Times New Roman" w:hAnsi="Times New Roman" w:cs="Times New Roman"/>
                <w:sz w:val="20"/>
                <w:szCs w:val="20"/>
              </w:rPr>
              <w:t>brak</w:t>
            </w:r>
          </w:p>
        </w:tc>
      </w:tr>
    </w:tbl>
    <w:p w14:paraId="0E501272" w14:textId="77777777" w:rsidR="004A009C" w:rsidRDefault="004A009C">
      <w:pPr>
        <w:spacing w:after="0"/>
        <w:ind w:left="-1020" w:right="110"/>
      </w:pPr>
    </w:p>
    <w:tbl>
      <w:tblPr>
        <w:tblStyle w:val="TableGrid"/>
        <w:tblW w:w="9648" w:type="dxa"/>
        <w:tblInd w:w="109" w:type="dxa"/>
        <w:tblCellMar>
          <w:top w:w="167" w:type="dxa"/>
          <w:left w:w="107" w:type="dxa"/>
          <w:right w:w="56" w:type="dxa"/>
        </w:tblCellMar>
        <w:tblLook w:val="04A0" w:firstRow="1" w:lastRow="0" w:firstColumn="1" w:lastColumn="0" w:noHBand="0" w:noVBand="1"/>
      </w:tblPr>
      <w:tblGrid>
        <w:gridCol w:w="2810"/>
        <w:gridCol w:w="3419"/>
        <w:gridCol w:w="3419"/>
      </w:tblGrid>
      <w:tr w:rsidR="004A009C" w14:paraId="436DA5C7" w14:textId="77777777" w:rsidTr="00BE12A5">
        <w:trPr>
          <w:trHeight w:val="988"/>
        </w:trPr>
        <w:tc>
          <w:tcPr>
            <w:tcW w:w="2810" w:type="dxa"/>
            <w:vMerge w:val="restart"/>
            <w:tcBorders>
              <w:top w:val="single" w:sz="4" w:space="0" w:color="000000"/>
              <w:left w:val="single" w:sz="4" w:space="0" w:color="000000"/>
              <w:bottom w:val="nil"/>
              <w:right w:val="single" w:sz="4" w:space="0" w:color="000000"/>
            </w:tcBorders>
            <w:shd w:val="clear" w:color="auto" w:fill="F3F3F3"/>
          </w:tcPr>
          <w:p w14:paraId="30E04B66"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7B9536F" w14:textId="77777777" w:rsidR="004A009C" w:rsidRDefault="00B365B2">
            <w:pPr>
              <w:ind w:left="2" w:right="50"/>
              <w:jc w:val="both"/>
            </w:pPr>
            <w:r>
              <w:rPr>
                <w:rFonts w:ascii="Times New Roman" w:eastAsia="Times New Roman" w:hAnsi="Times New Roman" w:cs="Times New Roman"/>
                <w:sz w:val="20"/>
              </w:rPr>
              <w:t xml:space="preserve">decyzja o ustaleniu lokalizacji inwestycji w zakresie budowy obiektu energetyki jądrowej </w:t>
            </w:r>
          </w:p>
        </w:tc>
        <w:tc>
          <w:tcPr>
            <w:tcW w:w="3419" w:type="dxa"/>
            <w:tcBorders>
              <w:top w:val="single" w:sz="4" w:space="0" w:color="000000"/>
              <w:left w:val="single" w:sz="4" w:space="0" w:color="000000"/>
              <w:bottom w:val="single" w:sz="4" w:space="0" w:color="000000"/>
              <w:right w:val="single" w:sz="4" w:space="0" w:color="000000"/>
            </w:tcBorders>
          </w:tcPr>
          <w:p w14:paraId="78F16A25"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0BC298D4" w14:textId="608206E6" w:rsidR="00C66EC0" w:rsidRDefault="00C66EC0">
            <w:pPr>
              <w:ind w:left="4"/>
            </w:pPr>
            <w:r w:rsidRPr="00C66EC0">
              <w:rPr>
                <w:rFonts w:ascii="Times New Roman" w:hAnsi="Times New Roman" w:cs="Times New Roman"/>
                <w:sz w:val="20"/>
                <w:szCs w:val="20"/>
              </w:rPr>
              <w:t>brak</w:t>
            </w:r>
          </w:p>
        </w:tc>
      </w:tr>
      <w:tr w:rsidR="004A009C" w14:paraId="39CBC9CD" w14:textId="77777777" w:rsidTr="00BE12A5">
        <w:trPr>
          <w:trHeight w:val="989"/>
        </w:trPr>
        <w:tc>
          <w:tcPr>
            <w:tcW w:w="0" w:type="auto"/>
            <w:vMerge/>
            <w:tcBorders>
              <w:top w:val="nil"/>
              <w:left w:val="single" w:sz="4" w:space="0" w:color="000000"/>
              <w:bottom w:val="nil"/>
              <w:right w:val="single" w:sz="4" w:space="0" w:color="000000"/>
            </w:tcBorders>
          </w:tcPr>
          <w:p w14:paraId="607D95F0"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4CEDFF70" w14:textId="77777777" w:rsidR="004A009C" w:rsidRDefault="00B365B2">
            <w:pPr>
              <w:ind w:left="2" w:right="45"/>
              <w:jc w:val="both"/>
            </w:pPr>
            <w:r>
              <w:rPr>
                <w:rFonts w:ascii="Times New Roman" w:eastAsia="Times New Roman" w:hAnsi="Times New Roman" w:cs="Times New Roman"/>
                <w:sz w:val="20"/>
              </w:rPr>
              <w:t xml:space="preserve">decyzja o ustaleniu lokalizacji strategicznej inwestycji w zakresie sieci przesyłowej </w:t>
            </w:r>
          </w:p>
        </w:tc>
        <w:tc>
          <w:tcPr>
            <w:tcW w:w="3419" w:type="dxa"/>
            <w:tcBorders>
              <w:top w:val="single" w:sz="4" w:space="0" w:color="000000"/>
              <w:left w:val="single" w:sz="4" w:space="0" w:color="000000"/>
              <w:bottom w:val="single" w:sz="4" w:space="0" w:color="000000"/>
              <w:right w:val="single" w:sz="4" w:space="0" w:color="000000"/>
            </w:tcBorders>
          </w:tcPr>
          <w:p w14:paraId="4260BA23"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616D5110" w14:textId="13D19F78" w:rsidR="00C66EC0" w:rsidRDefault="00C66EC0">
            <w:pPr>
              <w:ind w:left="4"/>
            </w:pPr>
            <w:r w:rsidRPr="00C66EC0">
              <w:rPr>
                <w:rFonts w:ascii="Times New Roman" w:hAnsi="Times New Roman" w:cs="Times New Roman"/>
                <w:sz w:val="20"/>
                <w:szCs w:val="20"/>
              </w:rPr>
              <w:t>brak</w:t>
            </w:r>
          </w:p>
        </w:tc>
      </w:tr>
      <w:tr w:rsidR="004A009C" w14:paraId="64DAB693" w14:textId="77777777" w:rsidTr="00BE12A5">
        <w:trPr>
          <w:trHeight w:val="755"/>
        </w:trPr>
        <w:tc>
          <w:tcPr>
            <w:tcW w:w="0" w:type="auto"/>
            <w:vMerge/>
            <w:tcBorders>
              <w:top w:val="nil"/>
              <w:left w:val="single" w:sz="4" w:space="0" w:color="000000"/>
              <w:bottom w:val="nil"/>
              <w:right w:val="single" w:sz="4" w:space="0" w:color="000000"/>
            </w:tcBorders>
          </w:tcPr>
          <w:p w14:paraId="5A098208"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39CE4E77" w14:textId="77777777" w:rsidR="004A009C" w:rsidRDefault="00B365B2">
            <w:pPr>
              <w:ind w:left="2"/>
              <w:jc w:val="both"/>
            </w:pPr>
            <w:r>
              <w:rPr>
                <w:rFonts w:ascii="Times New Roman" w:eastAsia="Times New Roman" w:hAnsi="Times New Roman" w:cs="Times New Roman"/>
                <w:sz w:val="20"/>
              </w:rPr>
              <w:t xml:space="preserve">decyzja o ustaleniu lokalizacji regionalnej sieci szerokopasmowej </w:t>
            </w:r>
          </w:p>
        </w:tc>
        <w:tc>
          <w:tcPr>
            <w:tcW w:w="3419" w:type="dxa"/>
            <w:tcBorders>
              <w:top w:val="single" w:sz="4" w:space="0" w:color="000000"/>
              <w:left w:val="single" w:sz="4" w:space="0" w:color="000000"/>
              <w:bottom w:val="single" w:sz="4" w:space="0" w:color="000000"/>
              <w:right w:val="single" w:sz="4" w:space="0" w:color="000000"/>
            </w:tcBorders>
          </w:tcPr>
          <w:p w14:paraId="759B148C"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3AA4F1BD" w14:textId="59702270" w:rsidR="00C66EC0" w:rsidRDefault="00C66EC0">
            <w:pPr>
              <w:ind w:left="4"/>
            </w:pPr>
            <w:r w:rsidRPr="00C66EC0">
              <w:rPr>
                <w:rFonts w:ascii="Times New Roman" w:hAnsi="Times New Roman" w:cs="Times New Roman"/>
                <w:sz w:val="20"/>
                <w:szCs w:val="20"/>
              </w:rPr>
              <w:t>brak</w:t>
            </w:r>
          </w:p>
        </w:tc>
      </w:tr>
      <w:tr w:rsidR="004A009C" w14:paraId="650770CE" w14:textId="77777777" w:rsidTr="00BE12A5">
        <w:trPr>
          <w:trHeight w:val="990"/>
        </w:trPr>
        <w:tc>
          <w:tcPr>
            <w:tcW w:w="2810" w:type="dxa"/>
            <w:vMerge w:val="restart"/>
            <w:tcBorders>
              <w:top w:val="nil"/>
              <w:left w:val="single" w:sz="4" w:space="0" w:color="000000"/>
              <w:bottom w:val="single" w:sz="4" w:space="0" w:color="000000"/>
              <w:right w:val="single" w:sz="4" w:space="0" w:color="000000"/>
            </w:tcBorders>
            <w:shd w:val="clear" w:color="auto" w:fill="F3F3F3"/>
          </w:tcPr>
          <w:p w14:paraId="359B1A37"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1A4990A4" w14:textId="77777777" w:rsidR="004A009C" w:rsidRDefault="00B365B2">
            <w:pPr>
              <w:ind w:left="2" w:right="47"/>
              <w:jc w:val="both"/>
            </w:pPr>
            <w:r>
              <w:rPr>
                <w:rFonts w:ascii="Times New Roman" w:eastAsia="Times New Roman" w:hAnsi="Times New Roman" w:cs="Times New Roman"/>
                <w:sz w:val="20"/>
              </w:rPr>
              <w:t xml:space="preserve">decyzja o ustaleniu lokalizacji inwestycji w zakresie Centralnego Portu Komunikacyjnego  </w:t>
            </w:r>
          </w:p>
        </w:tc>
        <w:tc>
          <w:tcPr>
            <w:tcW w:w="3419" w:type="dxa"/>
            <w:tcBorders>
              <w:top w:val="single" w:sz="4" w:space="0" w:color="000000"/>
              <w:left w:val="single" w:sz="4" w:space="0" w:color="000000"/>
              <w:bottom w:val="single" w:sz="4" w:space="0" w:color="000000"/>
              <w:right w:val="single" w:sz="4" w:space="0" w:color="000000"/>
            </w:tcBorders>
          </w:tcPr>
          <w:p w14:paraId="0339B35A"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133EA332" w14:textId="57A22C01" w:rsidR="00C66EC0" w:rsidRDefault="00C66EC0">
            <w:pPr>
              <w:ind w:left="4"/>
            </w:pPr>
            <w:r w:rsidRPr="00C66EC0">
              <w:rPr>
                <w:rFonts w:ascii="Times New Roman" w:hAnsi="Times New Roman" w:cs="Times New Roman"/>
                <w:sz w:val="20"/>
                <w:szCs w:val="20"/>
              </w:rPr>
              <w:t>brak</w:t>
            </w:r>
          </w:p>
        </w:tc>
      </w:tr>
      <w:tr w:rsidR="004A009C" w14:paraId="2F766BCF" w14:textId="77777777" w:rsidTr="00BE12A5">
        <w:trPr>
          <w:trHeight w:val="989"/>
        </w:trPr>
        <w:tc>
          <w:tcPr>
            <w:tcW w:w="0" w:type="auto"/>
            <w:vMerge/>
            <w:tcBorders>
              <w:top w:val="nil"/>
              <w:left w:val="single" w:sz="4" w:space="0" w:color="000000"/>
              <w:bottom w:val="nil"/>
              <w:right w:val="single" w:sz="4" w:space="0" w:color="000000"/>
            </w:tcBorders>
          </w:tcPr>
          <w:p w14:paraId="697F7F27"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5B3DDFB8" w14:textId="77777777" w:rsidR="004A009C" w:rsidRDefault="00B365B2">
            <w:pPr>
              <w:ind w:left="2"/>
            </w:pPr>
            <w:r>
              <w:rPr>
                <w:rFonts w:ascii="Times New Roman" w:eastAsia="Times New Roman" w:hAnsi="Times New Roman" w:cs="Times New Roman"/>
                <w:sz w:val="20"/>
              </w:rPr>
              <w:t xml:space="preserve">decyzja o zezwoleniu na realizację inwestycji w zakresie infrastruktury dostępowej </w:t>
            </w:r>
          </w:p>
        </w:tc>
        <w:tc>
          <w:tcPr>
            <w:tcW w:w="3419" w:type="dxa"/>
            <w:tcBorders>
              <w:top w:val="single" w:sz="4" w:space="0" w:color="000000"/>
              <w:left w:val="single" w:sz="4" w:space="0" w:color="000000"/>
              <w:bottom w:val="single" w:sz="4" w:space="0" w:color="000000"/>
              <w:right w:val="single" w:sz="4" w:space="0" w:color="000000"/>
            </w:tcBorders>
          </w:tcPr>
          <w:p w14:paraId="68BE798B"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6FBC8CE7" w14:textId="6E49B012" w:rsidR="00C66EC0" w:rsidRDefault="00C66EC0">
            <w:pPr>
              <w:ind w:left="4"/>
            </w:pPr>
            <w:r w:rsidRPr="00C66EC0">
              <w:rPr>
                <w:rFonts w:ascii="Times New Roman" w:hAnsi="Times New Roman" w:cs="Times New Roman"/>
                <w:sz w:val="20"/>
                <w:szCs w:val="20"/>
              </w:rPr>
              <w:t>brak</w:t>
            </w:r>
          </w:p>
        </w:tc>
      </w:tr>
      <w:tr w:rsidR="004A009C" w14:paraId="54958B45" w14:textId="77777777" w:rsidTr="00BE12A5">
        <w:trPr>
          <w:trHeight w:val="988"/>
        </w:trPr>
        <w:tc>
          <w:tcPr>
            <w:tcW w:w="0" w:type="auto"/>
            <w:vMerge/>
            <w:tcBorders>
              <w:top w:val="nil"/>
              <w:left w:val="single" w:sz="4" w:space="0" w:color="000000"/>
              <w:bottom w:val="single" w:sz="4" w:space="0" w:color="000000"/>
              <w:right w:val="single" w:sz="4" w:space="0" w:color="000000"/>
            </w:tcBorders>
          </w:tcPr>
          <w:p w14:paraId="6D12C1A2"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039B511A" w14:textId="77777777" w:rsidR="004A009C" w:rsidRDefault="00B365B2">
            <w:pPr>
              <w:ind w:left="2" w:right="45"/>
              <w:jc w:val="both"/>
            </w:pPr>
            <w:r>
              <w:rPr>
                <w:rFonts w:ascii="Times New Roman" w:eastAsia="Times New Roman" w:hAnsi="Times New Roman" w:cs="Times New Roman"/>
                <w:sz w:val="20"/>
              </w:rPr>
              <w:t xml:space="preserve">decyzja o ustaleniu lokalizacji strategicznej inwestycji w sektorze naftowym </w:t>
            </w:r>
          </w:p>
        </w:tc>
        <w:tc>
          <w:tcPr>
            <w:tcW w:w="3419" w:type="dxa"/>
            <w:tcBorders>
              <w:top w:val="single" w:sz="4" w:space="0" w:color="000000"/>
              <w:left w:val="single" w:sz="4" w:space="0" w:color="000000"/>
              <w:bottom w:val="single" w:sz="4" w:space="0" w:color="000000"/>
              <w:right w:val="single" w:sz="4" w:space="0" w:color="000000"/>
            </w:tcBorders>
          </w:tcPr>
          <w:p w14:paraId="5DC7DEC0"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7882FFA0" w14:textId="57B946A3" w:rsidR="00C66EC0" w:rsidRDefault="00C66EC0">
            <w:pPr>
              <w:ind w:left="4"/>
            </w:pPr>
            <w:r w:rsidRPr="00C66EC0">
              <w:rPr>
                <w:rFonts w:ascii="Times New Roman" w:hAnsi="Times New Roman" w:cs="Times New Roman"/>
                <w:sz w:val="20"/>
                <w:szCs w:val="20"/>
              </w:rPr>
              <w:t>brak</w:t>
            </w:r>
          </w:p>
        </w:tc>
      </w:tr>
      <w:tr w:rsidR="004A009C" w14:paraId="5E746CC1" w14:textId="77777777" w:rsidTr="00BE12A5">
        <w:trPr>
          <w:trHeight w:val="901"/>
        </w:trPr>
        <w:tc>
          <w:tcPr>
            <w:tcW w:w="6229" w:type="dxa"/>
            <w:gridSpan w:val="2"/>
            <w:tcBorders>
              <w:top w:val="single" w:sz="4" w:space="0" w:color="000000"/>
              <w:left w:val="single" w:sz="4" w:space="0" w:color="000000"/>
              <w:bottom w:val="single" w:sz="4" w:space="0" w:color="000000"/>
              <w:right w:val="nil"/>
            </w:tcBorders>
            <w:shd w:val="clear" w:color="auto" w:fill="D9D9D9"/>
            <w:vAlign w:val="center"/>
          </w:tcPr>
          <w:p w14:paraId="080CB082" w14:textId="77777777" w:rsidR="004A009C" w:rsidRDefault="00B365B2">
            <w:pPr>
              <w:spacing w:after="118"/>
            </w:pPr>
            <w:r>
              <w:rPr>
                <w:rFonts w:ascii="Times New Roman" w:eastAsia="Times New Roman" w:hAnsi="Times New Roman" w:cs="Times New Roman"/>
                <w:b/>
                <w:sz w:val="20"/>
              </w:rPr>
              <w:lastRenderedPageBreak/>
              <w:t xml:space="preserve">INFORMACJE DOTYCZĄCE BUDYNKU </w:t>
            </w:r>
          </w:p>
          <w:p w14:paraId="69DC27EB" w14:textId="77777777" w:rsidR="004A009C" w:rsidRDefault="00B365B2">
            <w:r>
              <w:rPr>
                <w:rFonts w:ascii="Times New Roman" w:eastAsia="Times New Roman" w:hAnsi="Times New Roman" w:cs="Times New Roman"/>
                <w:sz w:val="20"/>
              </w:rPr>
              <w:t xml:space="preserve"> </w:t>
            </w:r>
          </w:p>
        </w:tc>
        <w:tc>
          <w:tcPr>
            <w:tcW w:w="3419" w:type="dxa"/>
            <w:tcBorders>
              <w:top w:val="single" w:sz="4" w:space="0" w:color="000000"/>
              <w:left w:val="nil"/>
              <w:bottom w:val="single" w:sz="4" w:space="0" w:color="000000"/>
              <w:right w:val="single" w:sz="4" w:space="0" w:color="000000"/>
            </w:tcBorders>
            <w:shd w:val="clear" w:color="auto" w:fill="D9D9D9"/>
          </w:tcPr>
          <w:p w14:paraId="3DF44128" w14:textId="77777777" w:rsidR="004A009C" w:rsidRDefault="004A009C"/>
        </w:tc>
      </w:tr>
      <w:tr w:rsidR="004A009C" w14:paraId="350053B7" w14:textId="77777777" w:rsidTr="00BE12A5">
        <w:trPr>
          <w:trHeight w:val="903"/>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37CFE0F" w14:textId="77777777" w:rsidR="004A009C" w:rsidRDefault="00B365B2">
            <w:pPr>
              <w:spacing w:after="125"/>
            </w:pPr>
            <w:r>
              <w:rPr>
                <w:rFonts w:ascii="Times New Roman" w:eastAsia="Times New Roman" w:hAnsi="Times New Roman" w:cs="Times New Roman"/>
                <w:sz w:val="20"/>
              </w:rPr>
              <w:t xml:space="preserve">Czy jest pozwolenie na budowę </w:t>
            </w:r>
          </w:p>
          <w:p w14:paraId="5D2B4609" w14:textId="77777777" w:rsidR="004A009C" w:rsidRDefault="00B365B2">
            <w:r>
              <w:rPr>
                <w:rFonts w:ascii="Times New Roman" w:eastAsia="Times New Roman" w:hAnsi="Times New Roman" w:cs="Times New Roman"/>
                <w:sz w:val="20"/>
              </w:rPr>
              <w:t xml:space="preserve"> </w:t>
            </w:r>
          </w:p>
        </w:tc>
        <w:tc>
          <w:tcPr>
            <w:tcW w:w="3419" w:type="dxa"/>
            <w:tcBorders>
              <w:top w:val="single" w:sz="4" w:space="0" w:color="000000"/>
              <w:left w:val="single" w:sz="4" w:space="0" w:color="000000"/>
              <w:bottom w:val="single" w:sz="4" w:space="0" w:color="000000"/>
              <w:right w:val="single" w:sz="4" w:space="0" w:color="000000"/>
            </w:tcBorders>
            <w:vAlign w:val="center"/>
          </w:tcPr>
          <w:p w14:paraId="602AB723" w14:textId="35DA5E9B" w:rsidR="004A009C" w:rsidRDefault="00B365B2">
            <w:pPr>
              <w:ind w:right="46"/>
              <w:jc w:val="center"/>
            </w:pPr>
            <w:r>
              <w:rPr>
                <w:rFonts w:ascii="Times New Roman" w:eastAsia="Times New Roman" w:hAnsi="Times New Roman" w:cs="Times New Roman"/>
                <w:sz w:val="20"/>
              </w:rPr>
              <w:t>tak</w:t>
            </w:r>
          </w:p>
        </w:tc>
        <w:tc>
          <w:tcPr>
            <w:tcW w:w="3419" w:type="dxa"/>
            <w:tcBorders>
              <w:top w:val="single" w:sz="4" w:space="0" w:color="000000"/>
              <w:left w:val="single" w:sz="4" w:space="0" w:color="000000"/>
              <w:bottom w:val="single" w:sz="4" w:space="0" w:color="000000"/>
              <w:right w:val="single" w:sz="4" w:space="0" w:color="000000"/>
            </w:tcBorders>
            <w:vAlign w:val="center"/>
          </w:tcPr>
          <w:p w14:paraId="61C09AD2" w14:textId="4CC48703" w:rsidR="004A009C" w:rsidRDefault="004A009C">
            <w:pPr>
              <w:ind w:right="40"/>
              <w:jc w:val="center"/>
            </w:pPr>
          </w:p>
        </w:tc>
      </w:tr>
      <w:tr w:rsidR="004A009C" w14:paraId="10443165" w14:textId="77777777" w:rsidTr="00BE12A5">
        <w:trPr>
          <w:trHeight w:val="758"/>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985CC2" w14:textId="77777777" w:rsidR="004A009C" w:rsidRDefault="00B365B2">
            <w:r>
              <w:rPr>
                <w:rFonts w:ascii="Times New Roman" w:eastAsia="Times New Roman" w:hAnsi="Times New Roman" w:cs="Times New Roman"/>
                <w:sz w:val="20"/>
              </w:rPr>
              <w:t xml:space="preserve">Czy pozwolenie na budowę jest ostateczne </w:t>
            </w:r>
          </w:p>
        </w:tc>
        <w:tc>
          <w:tcPr>
            <w:tcW w:w="3419" w:type="dxa"/>
            <w:tcBorders>
              <w:top w:val="single" w:sz="4" w:space="0" w:color="000000"/>
              <w:left w:val="single" w:sz="4" w:space="0" w:color="000000"/>
              <w:bottom w:val="single" w:sz="4" w:space="0" w:color="000000"/>
              <w:right w:val="single" w:sz="4" w:space="0" w:color="000000"/>
            </w:tcBorders>
            <w:vAlign w:val="center"/>
          </w:tcPr>
          <w:p w14:paraId="382B710B" w14:textId="71EBCD66" w:rsidR="004A009C" w:rsidRDefault="00B365B2">
            <w:pPr>
              <w:ind w:right="44"/>
              <w:jc w:val="center"/>
            </w:pPr>
            <w:r>
              <w:rPr>
                <w:rFonts w:ascii="Times New Roman" w:eastAsia="Times New Roman" w:hAnsi="Times New Roman" w:cs="Times New Roman"/>
                <w:sz w:val="20"/>
              </w:rPr>
              <w:t>tak</w:t>
            </w:r>
          </w:p>
        </w:tc>
        <w:tc>
          <w:tcPr>
            <w:tcW w:w="3419" w:type="dxa"/>
            <w:tcBorders>
              <w:top w:val="single" w:sz="4" w:space="0" w:color="000000"/>
              <w:left w:val="single" w:sz="4" w:space="0" w:color="000000"/>
              <w:bottom w:val="single" w:sz="4" w:space="0" w:color="000000"/>
              <w:right w:val="single" w:sz="4" w:space="0" w:color="000000"/>
            </w:tcBorders>
            <w:vAlign w:val="center"/>
          </w:tcPr>
          <w:p w14:paraId="759C826B" w14:textId="0440C48B" w:rsidR="004A009C" w:rsidRDefault="004A009C">
            <w:pPr>
              <w:ind w:right="40"/>
              <w:jc w:val="center"/>
            </w:pPr>
          </w:p>
        </w:tc>
      </w:tr>
      <w:tr w:rsidR="004A009C" w14:paraId="79F17B53" w14:textId="77777777" w:rsidTr="00BE12A5">
        <w:trPr>
          <w:trHeight w:val="758"/>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27A02C" w14:textId="77777777" w:rsidR="004A009C" w:rsidRDefault="00B365B2">
            <w:r>
              <w:rPr>
                <w:rFonts w:ascii="Times New Roman" w:eastAsia="Times New Roman" w:hAnsi="Times New Roman" w:cs="Times New Roman"/>
                <w:sz w:val="20"/>
              </w:rPr>
              <w:t xml:space="preserve">Czy pozwolenie na budowę jest zaskarżone </w:t>
            </w:r>
          </w:p>
        </w:tc>
        <w:tc>
          <w:tcPr>
            <w:tcW w:w="3419" w:type="dxa"/>
            <w:tcBorders>
              <w:top w:val="single" w:sz="4" w:space="0" w:color="000000"/>
              <w:left w:val="single" w:sz="4" w:space="0" w:color="000000"/>
              <w:bottom w:val="single" w:sz="4" w:space="0" w:color="000000"/>
              <w:right w:val="single" w:sz="4" w:space="0" w:color="000000"/>
            </w:tcBorders>
            <w:vAlign w:val="center"/>
          </w:tcPr>
          <w:p w14:paraId="42387F77" w14:textId="1344BAD7" w:rsidR="004A009C" w:rsidRDefault="004A009C">
            <w:pPr>
              <w:ind w:right="44"/>
              <w:jc w:val="center"/>
            </w:pPr>
          </w:p>
        </w:tc>
        <w:tc>
          <w:tcPr>
            <w:tcW w:w="3419" w:type="dxa"/>
            <w:tcBorders>
              <w:top w:val="single" w:sz="4" w:space="0" w:color="000000"/>
              <w:left w:val="single" w:sz="4" w:space="0" w:color="000000"/>
              <w:bottom w:val="single" w:sz="4" w:space="0" w:color="000000"/>
              <w:right w:val="single" w:sz="4" w:space="0" w:color="000000"/>
            </w:tcBorders>
            <w:vAlign w:val="center"/>
          </w:tcPr>
          <w:p w14:paraId="0C7EDD03" w14:textId="7E33BCEF" w:rsidR="004A009C" w:rsidRDefault="00B365B2">
            <w:pPr>
              <w:ind w:right="40"/>
              <w:jc w:val="center"/>
            </w:pPr>
            <w:r>
              <w:rPr>
                <w:rFonts w:ascii="Times New Roman" w:eastAsia="Times New Roman" w:hAnsi="Times New Roman" w:cs="Times New Roman"/>
                <w:sz w:val="20"/>
              </w:rPr>
              <w:t xml:space="preserve">nie </w:t>
            </w:r>
          </w:p>
        </w:tc>
      </w:tr>
      <w:tr w:rsidR="004A009C" w14:paraId="23DE39E7" w14:textId="77777777" w:rsidTr="00BE12A5">
        <w:trPr>
          <w:trHeight w:val="986"/>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152B0B" w14:textId="77777777" w:rsidR="004A009C" w:rsidRDefault="00B365B2">
            <w:r>
              <w:rPr>
                <w:rFonts w:ascii="Times New Roman" w:eastAsia="Times New Roman" w:hAnsi="Times New Roman" w:cs="Times New Roman"/>
                <w:sz w:val="20"/>
              </w:rPr>
              <w:t xml:space="preserve">Numer pozwolenia na budowę oraz nazwa organu, który je wydał </w:t>
            </w:r>
          </w:p>
        </w:tc>
        <w:tc>
          <w:tcPr>
            <w:tcW w:w="3419" w:type="dxa"/>
            <w:tcBorders>
              <w:top w:val="single" w:sz="4" w:space="0" w:color="000000"/>
              <w:left w:val="single" w:sz="4" w:space="0" w:color="000000"/>
              <w:bottom w:val="single" w:sz="4" w:space="0" w:color="000000"/>
              <w:right w:val="nil"/>
            </w:tcBorders>
          </w:tcPr>
          <w:p w14:paraId="2CA92346" w14:textId="21A0B2A2" w:rsidR="00415E1D" w:rsidRDefault="00807202" w:rsidP="00807202">
            <w:pPr>
              <w:ind w:left="2"/>
              <w:rPr>
                <w:rFonts w:ascii="Times New Roman" w:hAnsi="Times New Roman" w:cs="Times New Roman"/>
                <w:sz w:val="20"/>
                <w:szCs w:val="20"/>
              </w:rPr>
            </w:pPr>
            <w:r w:rsidRPr="00C66EC0">
              <w:rPr>
                <w:rFonts w:ascii="Times New Roman" w:hAnsi="Times New Roman" w:cs="Times New Roman"/>
                <w:sz w:val="20"/>
                <w:szCs w:val="20"/>
              </w:rPr>
              <w:t xml:space="preserve">Decyzja </w:t>
            </w:r>
            <w:r w:rsidR="00385F03">
              <w:rPr>
                <w:rFonts w:ascii="Times New Roman" w:hAnsi="Times New Roman" w:cs="Times New Roman"/>
                <w:sz w:val="20"/>
                <w:szCs w:val="20"/>
              </w:rPr>
              <w:t>404</w:t>
            </w:r>
            <w:r w:rsidRPr="00C66EC0">
              <w:rPr>
                <w:rFonts w:ascii="Times New Roman" w:hAnsi="Times New Roman" w:cs="Times New Roman"/>
                <w:sz w:val="20"/>
                <w:szCs w:val="20"/>
              </w:rPr>
              <w:t xml:space="preserve">/PBR/2023 </w:t>
            </w:r>
          </w:p>
          <w:p w14:paraId="064C18E7" w14:textId="77777777" w:rsidR="00385F03" w:rsidRDefault="00807202" w:rsidP="00807202">
            <w:pPr>
              <w:ind w:left="2"/>
              <w:rPr>
                <w:rFonts w:ascii="Times New Roman" w:hAnsi="Times New Roman" w:cs="Times New Roman"/>
                <w:sz w:val="20"/>
                <w:szCs w:val="20"/>
              </w:rPr>
            </w:pPr>
            <w:r w:rsidRPr="00C66EC0">
              <w:rPr>
                <w:rFonts w:ascii="Times New Roman" w:hAnsi="Times New Roman" w:cs="Times New Roman"/>
                <w:sz w:val="20"/>
                <w:szCs w:val="20"/>
              </w:rPr>
              <w:t>z dnia 1</w:t>
            </w:r>
            <w:r w:rsidR="00385F03">
              <w:rPr>
                <w:rFonts w:ascii="Times New Roman" w:hAnsi="Times New Roman" w:cs="Times New Roman"/>
                <w:sz w:val="20"/>
                <w:szCs w:val="20"/>
              </w:rPr>
              <w:t>3 listopada</w:t>
            </w:r>
            <w:r w:rsidRPr="00C66EC0">
              <w:rPr>
                <w:rFonts w:ascii="Times New Roman" w:hAnsi="Times New Roman" w:cs="Times New Roman"/>
                <w:sz w:val="20"/>
                <w:szCs w:val="20"/>
              </w:rPr>
              <w:t xml:space="preserve"> 2023 r, </w:t>
            </w:r>
          </w:p>
          <w:p w14:paraId="072123A2" w14:textId="115BB56F" w:rsidR="004A009C" w:rsidRPr="00C66EC0" w:rsidRDefault="00807202" w:rsidP="00807202">
            <w:pPr>
              <w:ind w:left="2"/>
              <w:rPr>
                <w:rFonts w:ascii="Times New Roman" w:hAnsi="Times New Roman" w:cs="Times New Roman"/>
                <w:sz w:val="20"/>
                <w:szCs w:val="20"/>
              </w:rPr>
            </w:pPr>
            <w:r w:rsidRPr="00C66EC0">
              <w:rPr>
                <w:rFonts w:ascii="Times New Roman" w:hAnsi="Times New Roman" w:cs="Times New Roman"/>
                <w:sz w:val="20"/>
                <w:szCs w:val="20"/>
              </w:rPr>
              <w:t xml:space="preserve">Prezydent m.st. Warszawy </w:t>
            </w:r>
          </w:p>
        </w:tc>
        <w:tc>
          <w:tcPr>
            <w:tcW w:w="3419" w:type="dxa"/>
            <w:tcBorders>
              <w:top w:val="single" w:sz="4" w:space="0" w:color="000000"/>
              <w:left w:val="nil"/>
              <w:bottom w:val="single" w:sz="4" w:space="0" w:color="000000"/>
              <w:right w:val="single" w:sz="4" w:space="0" w:color="000000"/>
            </w:tcBorders>
          </w:tcPr>
          <w:p w14:paraId="1D60C124" w14:textId="77777777" w:rsidR="004A009C" w:rsidRDefault="004A009C"/>
        </w:tc>
      </w:tr>
      <w:tr w:rsidR="004A009C" w14:paraId="197AF508" w14:textId="77777777" w:rsidTr="00BE12A5">
        <w:trPr>
          <w:trHeight w:val="989"/>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6012C2" w14:textId="77777777" w:rsidR="004A009C" w:rsidRDefault="00B365B2">
            <w:r>
              <w:rPr>
                <w:rFonts w:ascii="Times New Roman" w:eastAsia="Times New Roman" w:hAnsi="Times New Roman" w:cs="Times New Roman"/>
                <w:sz w:val="20"/>
              </w:rPr>
              <w:t xml:space="preserve">Data uprawomocnienia się decyzji o pozwoleniu na użytkowanie budynku </w:t>
            </w:r>
          </w:p>
        </w:tc>
        <w:tc>
          <w:tcPr>
            <w:tcW w:w="3419" w:type="dxa"/>
            <w:tcBorders>
              <w:top w:val="single" w:sz="4" w:space="0" w:color="000000"/>
              <w:left w:val="single" w:sz="4" w:space="0" w:color="000000"/>
              <w:bottom w:val="single" w:sz="4" w:space="0" w:color="000000"/>
              <w:right w:val="nil"/>
            </w:tcBorders>
          </w:tcPr>
          <w:p w14:paraId="43BC6D06" w14:textId="4CCB1B59" w:rsidR="004A009C" w:rsidRPr="00C66EC0" w:rsidRDefault="00B365B2">
            <w:pPr>
              <w:ind w:left="2"/>
              <w:rPr>
                <w:sz w:val="20"/>
                <w:szCs w:val="20"/>
              </w:rPr>
            </w:pPr>
            <w:r w:rsidRPr="00C66EC0">
              <w:rPr>
                <w:rFonts w:ascii="Times New Roman" w:eastAsia="Times New Roman" w:hAnsi="Times New Roman" w:cs="Times New Roman"/>
                <w:sz w:val="20"/>
                <w:szCs w:val="20"/>
              </w:rPr>
              <w:t xml:space="preserve"> </w:t>
            </w:r>
            <w:r w:rsidR="00F25621" w:rsidRPr="00C66EC0">
              <w:rPr>
                <w:rFonts w:ascii="Times New Roman" w:eastAsia="Times New Roman" w:hAnsi="Times New Roman" w:cs="Times New Roman"/>
                <w:sz w:val="20"/>
                <w:szCs w:val="20"/>
              </w:rPr>
              <w:t>Nie dotyczy</w:t>
            </w:r>
          </w:p>
        </w:tc>
        <w:tc>
          <w:tcPr>
            <w:tcW w:w="3419" w:type="dxa"/>
            <w:tcBorders>
              <w:top w:val="single" w:sz="4" w:space="0" w:color="000000"/>
              <w:left w:val="nil"/>
              <w:bottom w:val="single" w:sz="4" w:space="0" w:color="000000"/>
              <w:right w:val="single" w:sz="4" w:space="0" w:color="000000"/>
            </w:tcBorders>
          </w:tcPr>
          <w:p w14:paraId="2EAF6323" w14:textId="77777777" w:rsidR="004A009C" w:rsidRDefault="004A009C"/>
        </w:tc>
      </w:tr>
      <w:tr w:rsidR="004A009C" w14:paraId="2F8F3670" w14:textId="77777777" w:rsidTr="00BE12A5">
        <w:trPr>
          <w:trHeight w:val="2548"/>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16FA0B" w14:textId="77777777" w:rsidR="004A009C" w:rsidRDefault="00B365B2">
            <w:pPr>
              <w:ind w:right="87"/>
              <w:jc w:val="both"/>
            </w:pPr>
            <w:r>
              <w:rPr>
                <w:rFonts w:ascii="Times New Roman" w:eastAsia="Times New Roman" w:hAnsi="Times New Roman" w:cs="Times New Roman"/>
                <w:sz w:val="20"/>
              </w:rPr>
              <w:t xml:space="preserve">Numer zgłoszenia budowy, o której mowa w art. 29 ust. 1 pkt 1 ustawy z dnia 7 lipca 1994 r. </w:t>
            </w:r>
          </w:p>
          <w:p w14:paraId="15832C13" w14:textId="77777777" w:rsidR="004A009C" w:rsidRDefault="00B365B2">
            <w:r>
              <w:rPr>
                <w:rFonts w:ascii="Times New Roman" w:eastAsia="Times New Roman" w:hAnsi="Times New Roman" w:cs="Times New Roman"/>
                <w:sz w:val="20"/>
              </w:rPr>
              <w:t xml:space="preserve">– Prawo budowlane (Dz. U. </w:t>
            </w:r>
          </w:p>
          <w:p w14:paraId="643E9198" w14:textId="77777777" w:rsidR="004A009C" w:rsidRDefault="00B365B2">
            <w:pPr>
              <w:ind w:right="121"/>
            </w:pPr>
            <w:r>
              <w:rPr>
                <w:rFonts w:ascii="Times New Roman" w:eastAsia="Times New Roman" w:hAnsi="Times New Roman" w:cs="Times New Roman"/>
                <w:sz w:val="20"/>
              </w:rPr>
              <w:t xml:space="preserve">z 2020 r. poz. 1333, 2127 i 2320 oraz z 2021 r. poz. 11, 234, 282 i 784), oraz oznaczenie organu, do którego dokonano zgłoszenia, wraz z informacją o braku wniesienia sprzeciwu przez ten organ </w:t>
            </w:r>
          </w:p>
        </w:tc>
        <w:tc>
          <w:tcPr>
            <w:tcW w:w="3419" w:type="dxa"/>
            <w:tcBorders>
              <w:top w:val="single" w:sz="4" w:space="0" w:color="000000"/>
              <w:left w:val="single" w:sz="4" w:space="0" w:color="000000"/>
              <w:bottom w:val="single" w:sz="4" w:space="0" w:color="000000"/>
              <w:right w:val="nil"/>
            </w:tcBorders>
          </w:tcPr>
          <w:p w14:paraId="4F645301" w14:textId="04191C90" w:rsidR="004A009C" w:rsidRPr="00C66EC0" w:rsidRDefault="00B365B2">
            <w:pPr>
              <w:ind w:left="2"/>
              <w:rPr>
                <w:sz w:val="20"/>
                <w:szCs w:val="20"/>
              </w:rPr>
            </w:pPr>
            <w:r w:rsidRPr="00C66EC0">
              <w:rPr>
                <w:rFonts w:ascii="Times New Roman" w:eastAsia="Times New Roman" w:hAnsi="Times New Roman" w:cs="Times New Roman"/>
                <w:sz w:val="20"/>
                <w:szCs w:val="20"/>
              </w:rPr>
              <w:t xml:space="preserve"> </w:t>
            </w:r>
            <w:r w:rsidR="004C5AE9">
              <w:rPr>
                <w:rFonts w:ascii="Times New Roman" w:eastAsia="Times New Roman" w:hAnsi="Times New Roman" w:cs="Times New Roman"/>
                <w:sz w:val="20"/>
                <w:szCs w:val="20"/>
              </w:rPr>
              <w:t xml:space="preserve">Zgłoszenie do PINB </w:t>
            </w:r>
            <w:r w:rsidR="00065017">
              <w:rPr>
                <w:rFonts w:ascii="Times New Roman" w:eastAsia="Times New Roman" w:hAnsi="Times New Roman" w:cs="Times New Roman"/>
                <w:sz w:val="20"/>
                <w:szCs w:val="20"/>
              </w:rPr>
              <w:t>dnia 20.11.2023 r.</w:t>
            </w:r>
          </w:p>
        </w:tc>
        <w:tc>
          <w:tcPr>
            <w:tcW w:w="3419" w:type="dxa"/>
            <w:tcBorders>
              <w:top w:val="single" w:sz="4" w:space="0" w:color="000000"/>
              <w:left w:val="nil"/>
              <w:bottom w:val="single" w:sz="4" w:space="0" w:color="000000"/>
              <w:right w:val="single" w:sz="4" w:space="0" w:color="000000"/>
            </w:tcBorders>
          </w:tcPr>
          <w:p w14:paraId="56D11E96" w14:textId="77777777" w:rsidR="004A009C" w:rsidRDefault="004A009C"/>
        </w:tc>
      </w:tr>
      <w:tr w:rsidR="004A009C" w14:paraId="292F61E8" w14:textId="77777777" w:rsidTr="00BE12A5">
        <w:trPr>
          <w:trHeight w:val="758"/>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282747" w14:textId="77777777" w:rsidR="004A009C" w:rsidRDefault="00B365B2">
            <w:pPr>
              <w:ind w:right="32"/>
            </w:pPr>
            <w:r>
              <w:rPr>
                <w:rFonts w:ascii="Times New Roman" w:eastAsia="Times New Roman" w:hAnsi="Times New Roman" w:cs="Times New Roman"/>
                <w:sz w:val="20"/>
              </w:rPr>
              <w:t xml:space="preserve">Data zakończenia budowy domu jednorodzinnego  </w:t>
            </w:r>
          </w:p>
        </w:tc>
        <w:tc>
          <w:tcPr>
            <w:tcW w:w="3419" w:type="dxa"/>
            <w:tcBorders>
              <w:top w:val="single" w:sz="4" w:space="0" w:color="000000"/>
              <w:left w:val="single" w:sz="4" w:space="0" w:color="000000"/>
              <w:bottom w:val="single" w:sz="4" w:space="0" w:color="000000"/>
              <w:right w:val="nil"/>
            </w:tcBorders>
          </w:tcPr>
          <w:p w14:paraId="3377984C" w14:textId="17E02527" w:rsidR="004A009C" w:rsidRPr="00C66EC0" w:rsidRDefault="00B365B2">
            <w:pPr>
              <w:ind w:left="2"/>
              <w:rPr>
                <w:sz w:val="20"/>
                <w:szCs w:val="20"/>
              </w:rPr>
            </w:pPr>
            <w:r w:rsidRPr="00C66EC0">
              <w:rPr>
                <w:rFonts w:ascii="Times New Roman" w:eastAsia="Times New Roman" w:hAnsi="Times New Roman" w:cs="Times New Roman"/>
                <w:sz w:val="20"/>
                <w:szCs w:val="20"/>
              </w:rPr>
              <w:t xml:space="preserve"> </w:t>
            </w:r>
            <w:r w:rsidR="002F3F66">
              <w:rPr>
                <w:rFonts w:ascii="Times New Roman" w:eastAsia="Times New Roman" w:hAnsi="Times New Roman" w:cs="Times New Roman"/>
                <w:sz w:val="20"/>
                <w:szCs w:val="20"/>
              </w:rPr>
              <w:t>3</w:t>
            </w:r>
            <w:r w:rsidR="000A2702">
              <w:rPr>
                <w:rFonts w:ascii="Times New Roman" w:eastAsia="Times New Roman" w:hAnsi="Times New Roman" w:cs="Times New Roman"/>
                <w:sz w:val="20"/>
                <w:szCs w:val="20"/>
              </w:rPr>
              <w:t>0</w:t>
            </w:r>
            <w:r w:rsidR="002F3F66">
              <w:rPr>
                <w:rFonts w:ascii="Times New Roman" w:eastAsia="Times New Roman" w:hAnsi="Times New Roman" w:cs="Times New Roman"/>
                <w:sz w:val="20"/>
                <w:szCs w:val="20"/>
              </w:rPr>
              <w:t>.</w:t>
            </w:r>
            <w:r w:rsidR="00935709">
              <w:rPr>
                <w:rFonts w:ascii="Times New Roman" w:eastAsia="Times New Roman" w:hAnsi="Times New Roman" w:cs="Times New Roman"/>
                <w:sz w:val="20"/>
                <w:szCs w:val="20"/>
              </w:rPr>
              <w:t>06</w:t>
            </w:r>
            <w:r w:rsidR="002F3F66">
              <w:rPr>
                <w:rFonts w:ascii="Times New Roman" w:eastAsia="Times New Roman" w:hAnsi="Times New Roman" w:cs="Times New Roman"/>
                <w:sz w:val="20"/>
                <w:szCs w:val="20"/>
              </w:rPr>
              <w:t>.202</w:t>
            </w:r>
            <w:r w:rsidR="00065017">
              <w:rPr>
                <w:rFonts w:ascii="Times New Roman" w:eastAsia="Times New Roman" w:hAnsi="Times New Roman" w:cs="Times New Roman"/>
                <w:sz w:val="20"/>
                <w:szCs w:val="20"/>
              </w:rPr>
              <w:t>5</w:t>
            </w:r>
            <w:r w:rsidR="002F3F66">
              <w:rPr>
                <w:rFonts w:ascii="Times New Roman" w:eastAsia="Times New Roman" w:hAnsi="Times New Roman" w:cs="Times New Roman"/>
                <w:sz w:val="20"/>
                <w:szCs w:val="20"/>
              </w:rPr>
              <w:t xml:space="preserve"> r.</w:t>
            </w:r>
          </w:p>
        </w:tc>
        <w:tc>
          <w:tcPr>
            <w:tcW w:w="3419" w:type="dxa"/>
            <w:tcBorders>
              <w:top w:val="single" w:sz="4" w:space="0" w:color="000000"/>
              <w:left w:val="nil"/>
              <w:bottom w:val="single" w:sz="4" w:space="0" w:color="000000"/>
              <w:right w:val="single" w:sz="4" w:space="0" w:color="000000"/>
            </w:tcBorders>
          </w:tcPr>
          <w:p w14:paraId="0E1A7CB8" w14:textId="77777777" w:rsidR="004A009C" w:rsidRDefault="004A009C"/>
        </w:tc>
      </w:tr>
      <w:tr w:rsidR="004A009C" w14:paraId="5771BF88" w14:textId="77777777" w:rsidTr="00BE12A5">
        <w:trPr>
          <w:trHeight w:val="989"/>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CBCA90" w14:textId="77777777" w:rsidR="004A009C" w:rsidRDefault="00B365B2">
            <w:r>
              <w:rPr>
                <w:rFonts w:ascii="Times New Roman" w:eastAsia="Times New Roman" w:hAnsi="Times New Roman" w:cs="Times New Roman"/>
                <w:sz w:val="20"/>
              </w:rPr>
              <w:t xml:space="preserve">Planowany termin rozpoczęcia </w:t>
            </w:r>
          </w:p>
          <w:p w14:paraId="3A26C284" w14:textId="77777777" w:rsidR="004A009C" w:rsidRDefault="00B365B2">
            <w:r>
              <w:rPr>
                <w:rFonts w:ascii="Times New Roman" w:eastAsia="Times New Roman" w:hAnsi="Times New Roman" w:cs="Times New Roman"/>
                <w:sz w:val="20"/>
              </w:rPr>
              <w:t xml:space="preserve">i zakończenia robót budowlanych </w:t>
            </w:r>
          </w:p>
        </w:tc>
        <w:tc>
          <w:tcPr>
            <w:tcW w:w="3419" w:type="dxa"/>
            <w:tcBorders>
              <w:top w:val="single" w:sz="4" w:space="0" w:color="000000"/>
              <w:left w:val="single" w:sz="4" w:space="0" w:color="000000"/>
              <w:bottom w:val="single" w:sz="4" w:space="0" w:color="000000"/>
              <w:right w:val="nil"/>
            </w:tcBorders>
          </w:tcPr>
          <w:p w14:paraId="07936CC3" w14:textId="77777777" w:rsidR="004A009C" w:rsidRDefault="00B365B2">
            <w:pPr>
              <w:ind w:left="2"/>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7C011160" w14:textId="4B66A1CB" w:rsidR="00C66EC0" w:rsidRPr="00ED1A1F" w:rsidRDefault="000A2702">
            <w:pPr>
              <w:ind w:left="2"/>
              <w:rPr>
                <w:rFonts w:ascii="Times New Roman" w:hAnsi="Times New Roman" w:cs="Times New Roman"/>
                <w:sz w:val="20"/>
                <w:szCs w:val="20"/>
              </w:rPr>
            </w:pPr>
            <w:r>
              <w:rPr>
                <w:rFonts w:ascii="Times New Roman" w:hAnsi="Times New Roman" w:cs="Times New Roman"/>
                <w:sz w:val="20"/>
                <w:szCs w:val="20"/>
              </w:rPr>
              <w:t>2</w:t>
            </w:r>
            <w:r w:rsidR="00401428">
              <w:rPr>
                <w:rFonts w:ascii="Times New Roman" w:hAnsi="Times New Roman" w:cs="Times New Roman"/>
                <w:sz w:val="20"/>
                <w:szCs w:val="20"/>
              </w:rPr>
              <w:t>0</w:t>
            </w:r>
            <w:r w:rsidR="00C66EC0" w:rsidRPr="00ED1A1F">
              <w:rPr>
                <w:rFonts w:ascii="Times New Roman" w:hAnsi="Times New Roman" w:cs="Times New Roman"/>
                <w:sz w:val="20"/>
                <w:szCs w:val="20"/>
              </w:rPr>
              <w:t>.1</w:t>
            </w:r>
            <w:r>
              <w:rPr>
                <w:rFonts w:ascii="Times New Roman" w:hAnsi="Times New Roman" w:cs="Times New Roman"/>
                <w:sz w:val="20"/>
                <w:szCs w:val="20"/>
              </w:rPr>
              <w:t>1</w:t>
            </w:r>
            <w:r w:rsidR="00C66EC0" w:rsidRPr="00ED1A1F">
              <w:rPr>
                <w:rFonts w:ascii="Times New Roman" w:hAnsi="Times New Roman" w:cs="Times New Roman"/>
                <w:sz w:val="20"/>
                <w:szCs w:val="20"/>
              </w:rPr>
              <w:t xml:space="preserve">.2023 r </w:t>
            </w:r>
            <w:r w:rsidR="00ED1A1F" w:rsidRPr="00ED1A1F">
              <w:rPr>
                <w:rFonts w:ascii="Times New Roman" w:hAnsi="Times New Roman" w:cs="Times New Roman"/>
                <w:sz w:val="20"/>
                <w:szCs w:val="20"/>
              </w:rPr>
              <w:t>–</w:t>
            </w:r>
            <w:r w:rsidR="00C66EC0" w:rsidRPr="00ED1A1F">
              <w:rPr>
                <w:rFonts w:ascii="Times New Roman" w:hAnsi="Times New Roman" w:cs="Times New Roman"/>
                <w:sz w:val="20"/>
                <w:szCs w:val="20"/>
              </w:rPr>
              <w:t xml:space="preserve"> </w:t>
            </w:r>
            <w:r w:rsidR="00ED1A1F" w:rsidRPr="00ED1A1F">
              <w:rPr>
                <w:rFonts w:ascii="Times New Roman" w:hAnsi="Times New Roman" w:cs="Times New Roman"/>
                <w:sz w:val="20"/>
                <w:szCs w:val="20"/>
              </w:rPr>
              <w:t>3</w:t>
            </w:r>
            <w:r w:rsidR="00935709">
              <w:rPr>
                <w:rFonts w:ascii="Times New Roman" w:hAnsi="Times New Roman" w:cs="Times New Roman"/>
                <w:sz w:val="20"/>
                <w:szCs w:val="20"/>
              </w:rPr>
              <w:t>0</w:t>
            </w:r>
            <w:r w:rsidR="00ED1A1F" w:rsidRPr="00ED1A1F">
              <w:rPr>
                <w:rFonts w:ascii="Times New Roman" w:hAnsi="Times New Roman" w:cs="Times New Roman"/>
                <w:sz w:val="20"/>
                <w:szCs w:val="20"/>
              </w:rPr>
              <w:t>.</w:t>
            </w:r>
            <w:r w:rsidR="00935709">
              <w:rPr>
                <w:rFonts w:ascii="Times New Roman" w:hAnsi="Times New Roman" w:cs="Times New Roman"/>
                <w:sz w:val="20"/>
                <w:szCs w:val="20"/>
              </w:rPr>
              <w:t>06</w:t>
            </w:r>
            <w:r w:rsidR="00ED1A1F" w:rsidRPr="00ED1A1F">
              <w:rPr>
                <w:rFonts w:ascii="Times New Roman" w:hAnsi="Times New Roman" w:cs="Times New Roman"/>
                <w:sz w:val="20"/>
                <w:szCs w:val="20"/>
              </w:rPr>
              <w:t>.202</w:t>
            </w:r>
            <w:r w:rsidR="00065017">
              <w:rPr>
                <w:rFonts w:ascii="Times New Roman" w:hAnsi="Times New Roman" w:cs="Times New Roman"/>
                <w:sz w:val="20"/>
                <w:szCs w:val="20"/>
              </w:rPr>
              <w:t>5</w:t>
            </w:r>
            <w:r w:rsidR="00ED1A1F" w:rsidRPr="00ED1A1F">
              <w:rPr>
                <w:rFonts w:ascii="Times New Roman" w:hAnsi="Times New Roman" w:cs="Times New Roman"/>
                <w:sz w:val="20"/>
                <w:szCs w:val="20"/>
              </w:rPr>
              <w:t xml:space="preserve"> r.</w:t>
            </w:r>
          </w:p>
        </w:tc>
        <w:tc>
          <w:tcPr>
            <w:tcW w:w="3419" w:type="dxa"/>
            <w:tcBorders>
              <w:top w:val="single" w:sz="4" w:space="0" w:color="000000"/>
              <w:left w:val="nil"/>
              <w:bottom w:val="single" w:sz="4" w:space="0" w:color="000000"/>
              <w:right w:val="single" w:sz="4" w:space="0" w:color="000000"/>
            </w:tcBorders>
          </w:tcPr>
          <w:p w14:paraId="50047E65" w14:textId="77777777" w:rsidR="004A009C" w:rsidRDefault="004A009C"/>
        </w:tc>
      </w:tr>
      <w:tr w:rsidR="004A009C" w14:paraId="4CFE78A7" w14:textId="77777777" w:rsidTr="00BE12A5">
        <w:trPr>
          <w:trHeight w:val="528"/>
        </w:trPr>
        <w:tc>
          <w:tcPr>
            <w:tcW w:w="281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41CDB240" w14:textId="77777777" w:rsidR="004A009C" w:rsidRDefault="00B365B2">
            <w:pPr>
              <w:spacing w:after="125"/>
            </w:pPr>
            <w:r>
              <w:rPr>
                <w:rFonts w:ascii="Times New Roman" w:eastAsia="Times New Roman" w:hAnsi="Times New Roman" w:cs="Times New Roman"/>
                <w:sz w:val="20"/>
              </w:rPr>
              <w:t xml:space="preserve"> </w:t>
            </w:r>
          </w:p>
          <w:p w14:paraId="0B3C2608" w14:textId="77777777" w:rsidR="004A009C" w:rsidRDefault="00B365B2">
            <w:pPr>
              <w:ind w:right="328"/>
              <w:jc w:val="both"/>
            </w:pPr>
            <w:r>
              <w:rPr>
                <w:rFonts w:ascii="Times New Roman" w:eastAsia="Times New Roman" w:hAnsi="Times New Roman" w:cs="Times New Roman"/>
                <w:sz w:val="20"/>
              </w:rPr>
              <w:t xml:space="preserve">Opis przedsięwzięcia deweloperskiego lub zadania inwestycyjnego </w:t>
            </w:r>
          </w:p>
        </w:tc>
        <w:tc>
          <w:tcPr>
            <w:tcW w:w="3419" w:type="dxa"/>
            <w:tcBorders>
              <w:top w:val="single" w:sz="4" w:space="0" w:color="000000"/>
              <w:left w:val="single" w:sz="4" w:space="0" w:color="000000"/>
              <w:bottom w:val="single" w:sz="4" w:space="0" w:color="000000"/>
              <w:right w:val="single" w:sz="4" w:space="0" w:color="000000"/>
            </w:tcBorders>
            <w:vAlign w:val="center"/>
          </w:tcPr>
          <w:p w14:paraId="1D8BC026" w14:textId="77777777" w:rsidR="004A009C" w:rsidRDefault="00B365B2">
            <w:pPr>
              <w:ind w:left="2"/>
            </w:pPr>
            <w:r>
              <w:rPr>
                <w:rFonts w:ascii="Times New Roman" w:eastAsia="Times New Roman" w:hAnsi="Times New Roman" w:cs="Times New Roman"/>
                <w:sz w:val="20"/>
              </w:rPr>
              <w:t xml:space="preserve">Liczba budynków  </w:t>
            </w:r>
          </w:p>
        </w:tc>
        <w:tc>
          <w:tcPr>
            <w:tcW w:w="3419" w:type="dxa"/>
            <w:tcBorders>
              <w:top w:val="single" w:sz="4" w:space="0" w:color="000000"/>
              <w:left w:val="single" w:sz="4" w:space="0" w:color="000000"/>
              <w:bottom w:val="single" w:sz="4" w:space="0" w:color="000000"/>
              <w:right w:val="single" w:sz="4" w:space="0" w:color="000000"/>
            </w:tcBorders>
            <w:vAlign w:val="center"/>
          </w:tcPr>
          <w:p w14:paraId="50AE8487" w14:textId="13BD3118" w:rsidR="00E47071" w:rsidRDefault="00605E2B" w:rsidP="00605E2B">
            <w:pPr>
              <w:ind w:left="4"/>
              <w:rPr>
                <w:rFonts w:cs="Arial"/>
                <w:sz w:val="20"/>
                <w:szCs w:val="20"/>
              </w:rPr>
            </w:pPr>
            <w:r w:rsidRPr="00605E2B">
              <w:rPr>
                <w:rFonts w:cs="Arial"/>
                <w:sz w:val="20"/>
                <w:szCs w:val="20"/>
              </w:rPr>
              <w:t xml:space="preserve">Zadanie </w:t>
            </w:r>
            <w:r w:rsidR="00E47071">
              <w:rPr>
                <w:rFonts w:cs="Arial"/>
                <w:sz w:val="20"/>
                <w:szCs w:val="20"/>
              </w:rPr>
              <w:t xml:space="preserve">inwestycyjne nr </w:t>
            </w:r>
            <w:r w:rsidR="00782A59">
              <w:rPr>
                <w:rFonts w:cs="Arial"/>
                <w:sz w:val="20"/>
                <w:szCs w:val="20"/>
              </w:rPr>
              <w:t>1</w:t>
            </w:r>
            <w:r w:rsidRPr="00605E2B">
              <w:rPr>
                <w:rFonts w:cs="Arial"/>
                <w:sz w:val="20"/>
                <w:szCs w:val="20"/>
              </w:rPr>
              <w:t xml:space="preserve">: </w:t>
            </w:r>
          </w:p>
          <w:p w14:paraId="3AD74D28" w14:textId="0EE85595" w:rsidR="004A009C" w:rsidRDefault="00605E2B" w:rsidP="00605E2B">
            <w:pPr>
              <w:ind w:left="4"/>
              <w:rPr>
                <w:rFonts w:cs="Arial"/>
                <w:sz w:val="20"/>
                <w:szCs w:val="20"/>
              </w:rPr>
            </w:pPr>
            <w:r w:rsidRPr="00605E2B">
              <w:rPr>
                <w:rFonts w:cs="Arial"/>
                <w:sz w:val="20"/>
                <w:szCs w:val="20"/>
              </w:rPr>
              <w:t xml:space="preserve">2 budynki mieszkalne jednorodzinne dwulokalowe w zabudowie bliźniaczej i 4 zbiorniki szczelne na nieczystości ciekłe o pojemności 10 m3 każde (BUD </w:t>
            </w:r>
            <w:r w:rsidR="00782A59">
              <w:rPr>
                <w:rFonts w:cs="Arial"/>
                <w:sz w:val="20"/>
                <w:szCs w:val="20"/>
              </w:rPr>
              <w:t>1</w:t>
            </w:r>
            <w:r w:rsidRPr="00605E2B">
              <w:rPr>
                <w:rFonts w:cs="Arial"/>
                <w:sz w:val="20"/>
                <w:szCs w:val="20"/>
              </w:rPr>
              <w:t xml:space="preserve"> – M</w:t>
            </w:r>
            <w:r w:rsidR="00782A59">
              <w:rPr>
                <w:rFonts w:cs="Arial"/>
                <w:sz w:val="20"/>
                <w:szCs w:val="20"/>
              </w:rPr>
              <w:t>10</w:t>
            </w:r>
            <w:r w:rsidRPr="00605E2B">
              <w:rPr>
                <w:rFonts w:cs="Arial"/>
                <w:sz w:val="20"/>
                <w:szCs w:val="20"/>
              </w:rPr>
              <w:t xml:space="preserve">, BUD </w:t>
            </w:r>
            <w:r w:rsidR="00782A59">
              <w:rPr>
                <w:rFonts w:cs="Arial"/>
                <w:sz w:val="20"/>
                <w:szCs w:val="20"/>
              </w:rPr>
              <w:t>2</w:t>
            </w:r>
            <w:r w:rsidRPr="00605E2B">
              <w:rPr>
                <w:rFonts w:cs="Arial"/>
                <w:sz w:val="20"/>
                <w:szCs w:val="20"/>
              </w:rPr>
              <w:t xml:space="preserve"> – </w:t>
            </w:r>
            <w:r w:rsidR="00333994">
              <w:rPr>
                <w:rFonts w:cs="Arial"/>
                <w:sz w:val="20"/>
                <w:szCs w:val="20"/>
              </w:rPr>
              <w:t>M1</w:t>
            </w:r>
            <w:r w:rsidR="00782A59">
              <w:rPr>
                <w:rFonts w:cs="Arial"/>
                <w:sz w:val="20"/>
                <w:szCs w:val="20"/>
              </w:rPr>
              <w:t>2</w:t>
            </w:r>
            <w:r w:rsidRPr="00605E2B">
              <w:rPr>
                <w:rFonts w:cs="Arial"/>
                <w:sz w:val="20"/>
                <w:szCs w:val="20"/>
              </w:rPr>
              <w:t>)</w:t>
            </w:r>
          </w:p>
          <w:p w14:paraId="55838B38" w14:textId="77777777" w:rsidR="00E47071" w:rsidRDefault="00E47071" w:rsidP="00605E2B">
            <w:pPr>
              <w:ind w:left="4"/>
              <w:rPr>
                <w:rFonts w:cs="Arial"/>
                <w:sz w:val="20"/>
                <w:szCs w:val="20"/>
              </w:rPr>
            </w:pPr>
          </w:p>
          <w:p w14:paraId="7B0D7499" w14:textId="77777777" w:rsidR="00E47071" w:rsidRDefault="00E47071" w:rsidP="00605E2B">
            <w:pPr>
              <w:ind w:left="4"/>
              <w:rPr>
                <w:rFonts w:cs="Arial"/>
                <w:sz w:val="20"/>
                <w:szCs w:val="20"/>
              </w:rPr>
            </w:pPr>
            <w:r>
              <w:rPr>
                <w:rFonts w:cs="Arial"/>
                <w:sz w:val="20"/>
                <w:szCs w:val="20"/>
              </w:rPr>
              <w:t>Pozwolenie  na budowę obejmuje budowę:</w:t>
            </w:r>
          </w:p>
          <w:p w14:paraId="4E3F0785" w14:textId="77777777" w:rsidR="00E47071" w:rsidRDefault="00E47071" w:rsidP="00E47071">
            <w:pPr>
              <w:rPr>
                <w:rFonts w:cs="Arial"/>
                <w:sz w:val="20"/>
                <w:szCs w:val="20"/>
              </w:rPr>
            </w:pPr>
            <w:r w:rsidRPr="00605E2B">
              <w:rPr>
                <w:rFonts w:cs="Arial"/>
                <w:sz w:val="20"/>
                <w:szCs w:val="20"/>
              </w:rPr>
              <w:t xml:space="preserve">4 budynki mieszkalne jednorodzinne dwulokalowe w zabudowie bliźniaczej </w:t>
            </w:r>
            <w:r w:rsidRPr="00333994">
              <w:rPr>
                <w:rFonts w:cs="Arial"/>
                <w:sz w:val="20"/>
                <w:szCs w:val="20"/>
              </w:rPr>
              <w:lastRenderedPageBreak/>
              <w:t>oraz 2 budynki mieszkalne jednorodzinne wolnostojące i 10</w:t>
            </w:r>
            <w:r w:rsidRPr="00605E2B">
              <w:rPr>
                <w:rFonts w:cs="Arial"/>
                <w:sz w:val="20"/>
                <w:szCs w:val="20"/>
              </w:rPr>
              <w:t xml:space="preserve"> zbiorników szczelnych na nieczystości ciekłe o pojemności 10 m3 każde</w:t>
            </w:r>
            <w:r>
              <w:rPr>
                <w:rFonts w:cs="Arial"/>
                <w:sz w:val="20"/>
                <w:szCs w:val="20"/>
              </w:rPr>
              <w:t>.</w:t>
            </w:r>
          </w:p>
          <w:p w14:paraId="63104F8F" w14:textId="65524EF9" w:rsidR="00E47071" w:rsidRDefault="00E47071" w:rsidP="00E47071">
            <w:pPr>
              <w:rPr>
                <w:rFonts w:cs="Arial"/>
                <w:sz w:val="20"/>
                <w:szCs w:val="20"/>
              </w:rPr>
            </w:pPr>
            <w:r>
              <w:rPr>
                <w:rFonts w:cs="Arial"/>
                <w:sz w:val="20"/>
                <w:szCs w:val="20"/>
              </w:rPr>
              <w:t>Przedsięwzięcie zostało podzielone na 4 zadania inwestycyjne</w:t>
            </w:r>
            <w:r w:rsidR="00680D5E">
              <w:rPr>
                <w:rFonts w:cs="Arial"/>
                <w:sz w:val="20"/>
                <w:szCs w:val="20"/>
              </w:rPr>
              <w:t xml:space="preserve"> (Zadanie</w:t>
            </w:r>
            <w:r w:rsidR="00362B38">
              <w:rPr>
                <w:rFonts w:cs="Arial"/>
                <w:sz w:val="20"/>
                <w:szCs w:val="20"/>
              </w:rPr>
              <w:t xml:space="preserve"> inwestycyjne</w:t>
            </w:r>
            <w:r w:rsidR="00680D5E">
              <w:rPr>
                <w:rFonts w:cs="Arial"/>
                <w:sz w:val="20"/>
                <w:szCs w:val="20"/>
              </w:rPr>
              <w:t xml:space="preserve"> nr 1 – BUD 1 – M10, BUD 2 – M12, Zadanie</w:t>
            </w:r>
            <w:r w:rsidR="00362B38">
              <w:rPr>
                <w:rFonts w:cs="Arial"/>
                <w:sz w:val="20"/>
                <w:szCs w:val="20"/>
              </w:rPr>
              <w:t xml:space="preserve"> inwestycyjne</w:t>
            </w:r>
            <w:r w:rsidR="00680D5E">
              <w:rPr>
                <w:rFonts w:cs="Arial"/>
                <w:sz w:val="20"/>
                <w:szCs w:val="20"/>
              </w:rPr>
              <w:t xml:space="preserve"> nr 2 - </w:t>
            </w:r>
            <w:r w:rsidR="00680D5E" w:rsidRPr="00605E2B">
              <w:rPr>
                <w:rFonts w:cs="Arial"/>
                <w:sz w:val="20"/>
                <w:szCs w:val="20"/>
              </w:rPr>
              <w:t xml:space="preserve">BUD </w:t>
            </w:r>
            <w:r w:rsidR="00680D5E">
              <w:rPr>
                <w:rFonts w:cs="Arial"/>
                <w:sz w:val="20"/>
                <w:szCs w:val="20"/>
              </w:rPr>
              <w:t>3</w:t>
            </w:r>
            <w:r w:rsidR="00680D5E" w:rsidRPr="00605E2B">
              <w:rPr>
                <w:rFonts w:cs="Arial"/>
                <w:sz w:val="20"/>
                <w:szCs w:val="20"/>
              </w:rPr>
              <w:t xml:space="preserve"> – M</w:t>
            </w:r>
            <w:r w:rsidR="00680D5E">
              <w:rPr>
                <w:rFonts w:cs="Arial"/>
                <w:sz w:val="20"/>
                <w:szCs w:val="20"/>
              </w:rPr>
              <w:t>9</w:t>
            </w:r>
            <w:r w:rsidR="00680D5E" w:rsidRPr="00605E2B">
              <w:rPr>
                <w:rFonts w:cs="Arial"/>
                <w:sz w:val="20"/>
                <w:szCs w:val="20"/>
              </w:rPr>
              <w:t xml:space="preserve">, BUD </w:t>
            </w:r>
            <w:r w:rsidR="00680D5E">
              <w:rPr>
                <w:rFonts w:cs="Arial"/>
                <w:sz w:val="20"/>
                <w:szCs w:val="20"/>
              </w:rPr>
              <w:t>4</w:t>
            </w:r>
            <w:r w:rsidR="00680D5E" w:rsidRPr="00605E2B">
              <w:rPr>
                <w:rFonts w:cs="Arial"/>
                <w:sz w:val="20"/>
                <w:szCs w:val="20"/>
              </w:rPr>
              <w:t xml:space="preserve"> – </w:t>
            </w:r>
            <w:r w:rsidR="00680D5E">
              <w:rPr>
                <w:rFonts w:cs="Arial"/>
                <w:sz w:val="20"/>
                <w:szCs w:val="20"/>
              </w:rPr>
              <w:t>M11, Zadanie</w:t>
            </w:r>
            <w:r w:rsidR="00362B38">
              <w:rPr>
                <w:rFonts w:cs="Arial"/>
                <w:sz w:val="20"/>
                <w:szCs w:val="20"/>
              </w:rPr>
              <w:t xml:space="preserve"> inwestycyjne</w:t>
            </w:r>
            <w:r w:rsidR="00680D5E">
              <w:rPr>
                <w:rFonts w:cs="Arial"/>
                <w:sz w:val="20"/>
                <w:szCs w:val="20"/>
              </w:rPr>
              <w:t xml:space="preserve"> nr 3 – BUD SB 1, Zadanie</w:t>
            </w:r>
            <w:r w:rsidR="00362B38">
              <w:rPr>
                <w:rFonts w:cs="Arial"/>
                <w:sz w:val="20"/>
                <w:szCs w:val="20"/>
              </w:rPr>
              <w:t xml:space="preserve"> inwestycyjne</w:t>
            </w:r>
            <w:r w:rsidR="00680D5E">
              <w:rPr>
                <w:rFonts w:cs="Arial"/>
                <w:sz w:val="20"/>
                <w:szCs w:val="20"/>
              </w:rPr>
              <w:t xml:space="preserve"> nr 4 BUD SB 2)</w:t>
            </w:r>
          </w:p>
          <w:p w14:paraId="155730F9" w14:textId="381D02A4" w:rsidR="00E47071" w:rsidRPr="002F3F66" w:rsidRDefault="00E47071" w:rsidP="00605E2B">
            <w:pPr>
              <w:ind w:left="4"/>
              <w:rPr>
                <w:sz w:val="20"/>
                <w:szCs w:val="20"/>
              </w:rPr>
            </w:pPr>
          </w:p>
        </w:tc>
      </w:tr>
      <w:tr w:rsidR="004A009C" w14:paraId="5BAB1E24" w14:textId="77777777" w:rsidTr="00BE12A5">
        <w:trPr>
          <w:trHeight w:val="988"/>
        </w:trPr>
        <w:tc>
          <w:tcPr>
            <w:tcW w:w="0" w:type="auto"/>
            <w:vMerge/>
            <w:tcBorders>
              <w:top w:val="nil"/>
              <w:left w:val="single" w:sz="4" w:space="0" w:color="000000"/>
              <w:bottom w:val="single" w:sz="4" w:space="0" w:color="000000"/>
              <w:right w:val="single" w:sz="4" w:space="0" w:color="000000"/>
            </w:tcBorders>
          </w:tcPr>
          <w:p w14:paraId="59678159"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72DA15A3" w14:textId="77777777" w:rsidR="004A009C" w:rsidRDefault="00B365B2">
            <w:pPr>
              <w:ind w:left="2" w:right="53"/>
              <w:jc w:val="both"/>
            </w:pPr>
            <w:r>
              <w:rPr>
                <w:rFonts w:ascii="Times New Roman" w:eastAsia="Times New Roman" w:hAnsi="Times New Roman" w:cs="Times New Roman"/>
                <w:sz w:val="20"/>
              </w:rPr>
              <w:t xml:space="preserve">Rozmieszczenie budynków na nieruchomości (należy podać minimalny odstęp między budynkami) </w:t>
            </w:r>
          </w:p>
        </w:tc>
        <w:tc>
          <w:tcPr>
            <w:tcW w:w="3419" w:type="dxa"/>
            <w:tcBorders>
              <w:top w:val="single" w:sz="4" w:space="0" w:color="000000"/>
              <w:left w:val="single" w:sz="4" w:space="0" w:color="000000"/>
              <w:bottom w:val="single" w:sz="4" w:space="0" w:color="000000"/>
              <w:right w:val="single" w:sz="4" w:space="0" w:color="000000"/>
            </w:tcBorders>
          </w:tcPr>
          <w:p w14:paraId="6F0EA8A0" w14:textId="77777777" w:rsidR="002F3F66" w:rsidRDefault="002F3F66">
            <w:pPr>
              <w:ind w:left="4"/>
              <w:rPr>
                <w:sz w:val="20"/>
                <w:szCs w:val="20"/>
              </w:rPr>
            </w:pPr>
            <w:r>
              <w:rPr>
                <w:sz w:val="20"/>
                <w:szCs w:val="20"/>
              </w:rPr>
              <w:t xml:space="preserve">Minimalny odstęp między budynkami </w:t>
            </w:r>
          </w:p>
          <w:p w14:paraId="337CF40B" w14:textId="3CA3B2C9" w:rsidR="004A009C" w:rsidRPr="002F3F66" w:rsidRDefault="002F3F66">
            <w:pPr>
              <w:ind w:left="4"/>
              <w:rPr>
                <w:sz w:val="20"/>
                <w:szCs w:val="20"/>
              </w:rPr>
            </w:pPr>
            <w:r w:rsidRPr="002F3F66">
              <w:rPr>
                <w:sz w:val="20"/>
                <w:szCs w:val="20"/>
              </w:rPr>
              <w:t>8 m</w:t>
            </w:r>
          </w:p>
        </w:tc>
      </w:tr>
      <w:tr w:rsidR="001F6733" w14:paraId="5077BA5D" w14:textId="77777777" w:rsidTr="00BE12A5">
        <w:trPr>
          <w:trHeight w:val="988"/>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B0243E" w14:textId="77777777" w:rsidR="001F6733" w:rsidRDefault="001F6733">
            <w:r>
              <w:rPr>
                <w:rFonts w:ascii="Times New Roman" w:eastAsia="Times New Roman" w:hAnsi="Times New Roman" w:cs="Times New Roman"/>
                <w:sz w:val="20"/>
              </w:rPr>
              <w:t xml:space="preserve">Sposób pomiaru powierzchni użytkowej lokalu mieszkalnego albo domu jednorodzinnego </w:t>
            </w:r>
          </w:p>
        </w:tc>
        <w:tc>
          <w:tcPr>
            <w:tcW w:w="6838" w:type="dxa"/>
            <w:gridSpan w:val="2"/>
            <w:tcBorders>
              <w:top w:val="single" w:sz="4" w:space="0" w:color="000000"/>
              <w:left w:val="single" w:sz="4" w:space="0" w:color="000000"/>
              <w:bottom w:val="single" w:sz="4" w:space="0" w:color="000000"/>
              <w:right w:val="single" w:sz="4" w:space="0" w:color="000000"/>
            </w:tcBorders>
          </w:tcPr>
          <w:p w14:paraId="6DAE15F2" w14:textId="77777777" w:rsidR="001F6733" w:rsidRPr="00ED1A1F" w:rsidRDefault="00DB755F">
            <w:pPr>
              <w:rPr>
                <w:rFonts w:ascii="Times New Roman" w:hAnsi="Times New Roman" w:cs="Times New Roman"/>
                <w:sz w:val="20"/>
                <w:szCs w:val="20"/>
              </w:rPr>
            </w:pPr>
            <w:r w:rsidRPr="00ED1A1F">
              <w:rPr>
                <w:rFonts w:ascii="Times New Roman" w:hAnsi="Times New Roman" w:cs="Times New Roman"/>
                <w:sz w:val="20"/>
                <w:szCs w:val="20"/>
              </w:rPr>
              <w:t>PN-ISO 9836:2015-12</w:t>
            </w:r>
          </w:p>
          <w:p w14:paraId="6B3E4F5E" w14:textId="072B8AAD" w:rsidR="00DB755F" w:rsidRDefault="00DB755F"/>
        </w:tc>
      </w:tr>
      <w:tr w:rsidR="004A009C" w14:paraId="2206F595" w14:textId="77777777" w:rsidTr="00BE12A5">
        <w:trPr>
          <w:trHeight w:val="758"/>
        </w:trPr>
        <w:tc>
          <w:tcPr>
            <w:tcW w:w="281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C356D4F" w14:textId="77777777" w:rsidR="004A009C" w:rsidRDefault="00B365B2">
            <w:pPr>
              <w:ind w:right="258"/>
            </w:pPr>
            <w:r>
              <w:rPr>
                <w:rFonts w:ascii="Times New Roman" w:eastAsia="Times New Roman" w:hAnsi="Times New Roman" w:cs="Times New Roman"/>
                <w:sz w:val="20"/>
              </w:rPr>
              <w:t xml:space="preserve">Zamierzony sposób i procentowy udział źródeł finansowania przedsięwzięcia deweloperskiego lub zadania inwestycyjnego </w:t>
            </w:r>
          </w:p>
        </w:tc>
        <w:tc>
          <w:tcPr>
            <w:tcW w:w="3419" w:type="dxa"/>
            <w:tcBorders>
              <w:top w:val="single" w:sz="4" w:space="0" w:color="000000"/>
              <w:left w:val="single" w:sz="4" w:space="0" w:color="000000"/>
              <w:bottom w:val="single" w:sz="4" w:space="0" w:color="000000"/>
              <w:right w:val="single" w:sz="4" w:space="0" w:color="000000"/>
            </w:tcBorders>
            <w:vAlign w:val="center"/>
          </w:tcPr>
          <w:p w14:paraId="48AF3C47" w14:textId="77777777" w:rsidR="004A009C" w:rsidRDefault="00B365B2">
            <w:pPr>
              <w:ind w:left="2"/>
              <w:jc w:val="both"/>
            </w:pPr>
            <w:r>
              <w:rPr>
                <w:rFonts w:ascii="Times New Roman" w:eastAsia="Times New Roman" w:hAnsi="Times New Roman" w:cs="Times New Roman"/>
                <w:sz w:val="20"/>
              </w:rPr>
              <w:t xml:space="preserve">Rodzaj posiadanych środków finansowych – kredyt, środki własne, inne </w:t>
            </w:r>
          </w:p>
        </w:tc>
        <w:tc>
          <w:tcPr>
            <w:tcW w:w="3419" w:type="dxa"/>
            <w:tcBorders>
              <w:top w:val="single" w:sz="4" w:space="0" w:color="000000"/>
              <w:left w:val="single" w:sz="4" w:space="0" w:color="000000"/>
              <w:bottom w:val="single" w:sz="4" w:space="0" w:color="000000"/>
              <w:right w:val="single" w:sz="4" w:space="0" w:color="000000"/>
            </w:tcBorders>
          </w:tcPr>
          <w:p w14:paraId="05A83BB3" w14:textId="3152E8EB" w:rsidR="004A009C" w:rsidRDefault="00B365B2">
            <w:pPr>
              <w:ind w:left="4"/>
            </w:pPr>
            <w:r>
              <w:rPr>
                <w:rFonts w:ascii="Times New Roman" w:eastAsia="Times New Roman" w:hAnsi="Times New Roman" w:cs="Times New Roman"/>
                <w:sz w:val="20"/>
              </w:rPr>
              <w:t xml:space="preserve"> </w:t>
            </w:r>
            <w:r w:rsidR="00807202">
              <w:rPr>
                <w:rFonts w:ascii="Times New Roman" w:eastAsia="Times New Roman" w:hAnsi="Times New Roman" w:cs="Times New Roman"/>
                <w:sz w:val="20"/>
              </w:rPr>
              <w:t>Środki własne, środki wpłacane przez klientów na rachunek powierniczy</w:t>
            </w:r>
          </w:p>
        </w:tc>
      </w:tr>
      <w:tr w:rsidR="004A009C" w14:paraId="440A8905" w14:textId="77777777" w:rsidTr="00BE12A5">
        <w:trPr>
          <w:trHeight w:val="758"/>
        </w:trPr>
        <w:tc>
          <w:tcPr>
            <w:tcW w:w="0" w:type="auto"/>
            <w:vMerge/>
            <w:tcBorders>
              <w:top w:val="nil"/>
              <w:left w:val="single" w:sz="4" w:space="0" w:color="000000"/>
              <w:bottom w:val="single" w:sz="4" w:space="0" w:color="000000"/>
              <w:right w:val="single" w:sz="4" w:space="0" w:color="000000"/>
            </w:tcBorders>
          </w:tcPr>
          <w:p w14:paraId="00080769"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4F10F60D" w14:textId="77777777" w:rsidR="004A009C" w:rsidRDefault="00B365B2">
            <w:pPr>
              <w:ind w:left="2"/>
              <w:jc w:val="both"/>
            </w:pPr>
            <w:r>
              <w:rPr>
                <w:rFonts w:ascii="Times New Roman" w:eastAsia="Times New Roman" w:hAnsi="Times New Roman" w:cs="Times New Roman"/>
                <w:sz w:val="20"/>
              </w:rPr>
              <w:t xml:space="preserve">W następujących instytucjach finansowych (wypełnia się w przypadku kredytu) </w:t>
            </w:r>
          </w:p>
        </w:tc>
        <w:tc>
          <w:tcPr>
            <w:tcW w:w="3419" w:type="dxa"/>
            <w:tcBorders>
              <w:top w:val="single" w:sz="4" w:space="0" w:color="000000"/>
              <w:left w:val="single" w:sz="4" w:space="0" w:color="000000"/>
              <w:bottom w:val="single" w:sz="4" w:space="0" w:color="000000"/>
              <w:right w:val="single" w:sz="4" w:space="0" w:color="000000"/>
            </w:tcBorders>
          </w:tcPr>
          <w:p w14:paraId="6CE3782C"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58BC1F53" w14:textId="438C5973" w:rsidR="00ED1A1F" w:rsidRPr="00ED1A1F" w:rsidRDefault="00ED1A1F">
            <w:pPr>
              <w:ind w:left="4"/>
              <w:rPr>
                <w:sz w:val="20"/>
                <w:szCs w:val="20"/>
              </w:rPr>
            </w:pPr>
            <w:r>
              <w:rPr>
                <w:sz w:val="20"/>
                <w:szCs w:val="20"/>
              </w:rPr>
              <w:t>Nie dotyczy</w:t>
            </w:r>
          </w:p>
        </w:tc>
      </w:tr>
      <w:tr w:rsidR="004A009C" w14:paraId="7B1F0581" w14:textId="77777777" w:rsidTr="00BE12A5">
        <w:trPr>
          <w:trHeight w:val="941"/>
        </w:trPr>
        <w:tc>
          <w:tcPr>
            <w:tcW w:w="281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33764CC" w14:textId="77777777" w:rsidR="004A009C" w:rsidRDefault="00B365B2">
            <w:r>
              <w:rPr>
                <w:rFonts w:ascii="Times New Roman" w:eastAsia="Times New Roman" w:hAnsi="Times New Roman" w:cs="Times New Roman"/>
                <w:sz w:val="20"/>
              </w:rPr>
              <w:t xml:space="preserve">Środki ochrony nabywców </w:t>
            </w:r>
          </w:p>
        </w:tc>
        <w:tc>
          <w:tcPr>
            <w:tcW w:w="3419" w:type="dxa"/>
            <w:tcBorders>
              <w:top w:val="single" w:sz="4" w:space="0" w:color="000000"/>
              <w:left w:val="single" w:sz="4" w:space="0" w:color="000000"/>
              <w:bottom w:val="single" w:sz="4" w:space="0" w:color="000000"/>
              <w:right w:val="single" w:sz="4" w:space="0" w:color="000000"/>
            </w:tcBorders>
          </w:tcPr>
          <w:p w14:paraId="5F22DA19" w14:textId="76685779" w:rsidR="004A009C" w:rsidRDefault="00B365B2">
            <w:pPr>
              <w:ind w:left="2"/>
            </w:pPr>
            <w:r>
              <w:rPr>
                <w:rFonts w:ascii="Times New Roman" w:eastAsia="Times New Roman" w:hAnsi="Times New Roman" w:cs="Times New Roman"/>
                <w:sz w:val="20"/>
              </w:rPr>
              <w:t>Otwarty mieszkaniowy rachunek powierniczy</w:t>
            </w:r>
            <w:r w:rsidR="002F3F66">
              <w:rPr>
                <w:rFonts w:ascii="Times New Roman" w:eastAsia="Times New Roman" w:hAnsi="Times New Roman" w:cs="Times New Roman"/>
                <w:sz w:val="20"/>
              </w:rPr>
              <w:t xml:space="preserve"> prowadzony w Mazowieckim Banku Spółdzielczym z siedzibą w Łomiankach</w:t>
            </w:r>
            <w:r>
              <w:rPr>
                <w:rFonts w:ascii="Times New Roman" w:eastAsia="Times New Roman" w:hAnsi="Times New Roman" w:cs="Times New Roman"/>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2A29FBF7" w14:textId="77777777" w:rsidR="004A009C" w:rsidRDefault="004A009C">
            <w:pPr>
              <w:ind w:left="4"/>
            </w:pPr>
          </w:p>
          <w:p w14:paraId="5715D1D0" w14:textId="04C1B574" w:rsidR="00712AA9" w:rsidRDefault="00712AA9">
            <w:pPr>
              <w:ind w:left="4"/>
            </w:pPr>
            <w:r>
              <w:t>-----------------------------------------------</w:t>
            </w:r>
          </w:p>
        </w:tc>
      </w:tr>
      <w:tr w:rsidR="004A009C" w14:paraId="48FF76A5" w14:textId="77777777" w:rsidTr="00BE12A5">
        <w:trPr>
          <w:trHeight w:val="988"/>
        </w:trPr>
        <w:tc>
          <w:tcPr>
            <w:tcW w:w="0" w:type="auto"/>
            <w:vMerge/>
            <w:tcBorders>
              <w:top w:val="nil"/>
              <w:left w:val="single" w:sz="4" w:space="0" w:color="000000"/>
              <w:bottom w:val="single" w:sz="4" w:space="0" w:color="000000"/>
              <w:right w:val="single" w:sz="4" w:space="0" w:color="000000"/>
            </w:tcBorders>
          </w:tcPr>
          <w:p w14:paraId="70232A1C"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101364F1" w14:textId="77777777" w:rsidR="004A009C" w:rsidRDefault="00B365B2">
            <w:pPr>
              <w:ind w:left="2" w:right="54"/>
              <w:jc w:val="both"/>
            </w:pPr>
            <w:r>
              <w:rPr>
                <w:rFonts w:ascii="Times New Roman" w:eastAsia="Times New Roman" w:hAnsi="Times New Roman" w:cs="Times New Roman"/>
                <w:sz w:val="20"/>
              </w:rPr>
              <w:t>Wysokość stawki procentowej, według której jest obliczana kwota składki na Deweloperski Fundusz Gwarancyjny</w:t>
            </w:r>
            <w:r>
              <w:rPr>
                <w:rFonts w:ascii="Times New Roman" w:eastAsia="Times New Roman" w:hAnsi="Times New Roman" w:cs="Times New Roman"/>
                <w:sz w:val="20"/>
                <w:vertAlign w:val="superscript"/>
              </w:rPr>
              <w:t>7)</w:t>
            </w:r>
            <w:r>
              <w:rPr>
                <w:rFonts w:ascii="Times New Roman" w:eastAsia="Times New Roman" w:hAnsi="Times New Roman" w:cs="Times New Roman"/>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5CAC869A" w14:textId="77777777" w:rsidR="004A009C" w:rsidRDefault="00B365B2">
            <w:pPr>
              <w:ind w:left="4"/>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53143343" w14:textId="76E66CB1" w:rsidR="00EC4B04" w:rsidRDefault="0067138B">
            <w:pPr>
              <w:ind w:left="4"/>
            </w:pPr>
            <w:r>
              <w:t>0,45 %</w:t>
            </w:r>
          </w:p>
        </w:tc>
      </w:tr>
      <w:tr w:rsidR="00AF4F76" w14:paraId="286D2143" w14:textId="77777777" w:rsidTr="00BE12A5">
        <w:trPr>
          <w:trHeight w:val="1276"/>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776199" w14:textId="77777777" w:rsidR="00AF4F76" w:rsidRDefault="00AF4F76">
            <w:r>
              <w:rPr>
                <w:rFonts w:ascii="Times New Roman" w:eastAsia="Times New Roman" w:hAnsi="Times New Roman" w:cs="Times New Roman"/>
                <w:sz w:val="20"/>
              </w:rPr>
              <w:t xml:space="preserve">Główne zasady funkcjonowania wybranego rodzaju zabezpieczenia środków nabywcy </w:t>
            </w:r>
          </w:p>
        </w:tc>
        <w:tc>
          <w:tcPr>
            <w:tcW w:w="6838" w:type="dxa"/>
            <w:gridSpan w:val="2"/>
            <w:tcBorders>
              <w:top w:val="single" w:sz="4" w:space="0" w:color="000000"/>
              <w:left w:val="single" w:sz="4" w:space="0" w:color="000000"/>
              <w:bottom w:val="single" w:sz="4" w:space="0" w:color="000000"/>
              <w:right w:val="single" w:sz="4" w:space="0" w:color="000000"/>
            </w:tcBorders>
            <w:vAlign w:val="center"/>
          </w:tcPr>
          <w:p w14:paraId="7A4E68F2" w14:textId="077FFF99" w:rsidR="00AF4F76" w:rsidRPr="00AF4F76" w:rsidRDefault="00AF4F76" w:rsidP="00AF4F76">
            <w:pPr>
              <w:contextualSpacing/>
              <w:jc w:val="both"/>
              <w:rPr>
                <w:rFonts w:ascii="Times New Roman" w:hAnsi="Times New Roman" w:cs="Times New Roman"/>
                <w:color w:val="auto"/>
                <w:sz w:val="20"/>
                <w:szCs w:val="20"/>
                <w:lang w:eastAsia="en-US"/>
              </w:rPr>
            </w:pPr>
            <w:r>
              <w:rPr>
                <w:rFonts w:ascii="Times New Roman" w:eastAsia="Times New Roman" w:hAnsi="Times New Roman" w:cs="Times New Roman"/>
                <w:sz w:val="20"/>
              </w:rPr>
              <w:t xml:space="preserve"> </w:t>
            </w:r>
            <w:r w:rsidRPr="00AF4F76">
              <w:rPr>
                <w:rFonts w:ascii="Times New Roman" w:hAnsi="Times New Roman" w:cs="Times New Roman"/>
                <w:color w:val="auto"/>
                <w:sz w:val="20"/>
                <w:szCs w:val="20"/>
                <w:lang w:eastAsia="en-US"/>
              </w:rPr>
              <w:t xml:space="preserve">Otwarty mieszkaniowy rachunek powierniczy funkcjonuje zgodnie z przepisami ustawy z dnia 20 maja 2021 r. o ochronie praw nabywcy lokalu mieszkalnego lub domu jednorodzinnego oraz Deweloperskim Funduszu </w:t>
            </w:r>
            <w:r w:rsidR="00ED720B">
              <w:rPr>
                <w:rFonts w:ascii="Times New Roman" w:hAnsi="Times New Roman" w:cs="Times New Roman"/>
                <w:color w:val="auto"/>
                <w:sz w:val="20"/>
                <w:szCs w:val="20"/>
                <w:lang w:eastAsia="en-US"/>
              </w:rPr>
              <w:t>Gwarancyjnym.</w:t>
            </w:r>
          </w:p>
          <w:p w14:paraId="2D1CFF15" w14:textId="77777777" w:rsidR="00AF4F76" w:rsidRPr="00AF4F76" w:rsidRDefault="00AF4F76" w:rsidP="00AF4F76">
            <w:pPr>
              <w:contextualSpacing/>
              <w:jc w:val="both"/>
              <w:rPr>
                <w:rFonts w:ascii="Times New Roman" w:hAnsi="Times New Roman" w:cs="Times New Roman"/>
                <w:color w:val="auto"/>
                <w:sz w:val="20"/>
                <w:szCs w:val="20"/>
                <w:lang w:eastAsia="en-US"/>
              </w:rPr>
            </w:pPr>
          </w:p>
          <w:p w14:paraId="09A53331" w14:textId="32DFD0F4" w:rsidR="00AF4F76" w:rsidRPr="00AF4F76" w:rsidRDefault="00AF4F76" w:rsidP="00C766CF">
            <w:pPr>
              <w:ind w:left="2"/>
              <w:contextualSpacing/>
              <w:jc w:val="both"/>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1. W związku z realizacją przez dewelopera umowy deweloperskiej, bank wypłaca deweloperowi środki pieniężne wpłacone przez nabywcę na otwarty mieszkaniowy rachunek powierniczy, nie wcześniej niż po 30 dniach od dnia zawarcia umowy deweloperskiej i po stwierdzeniu zakończenia danego etapu realizacji przedsięwzięcia deweloperskiego lub zadania inwestycyjnego, w wysokości kwoty stanowiącej iloczyn procentu kosztów danego etapu określonego w harmonogramie przedsięwzięcia deweloperskiego lub zadania inwestycyjnego oraz</w:t>
            </w:r>
            <w:r w:rsidR="00C766CF">
              <w:rPr>
                <w:rFonts w:ascii="Times New Roman" w:hAnsi="Times New Roman" w:cs="Times New Roman"/>
                <w:color w:val="auto"/>
                <w:sz w:val="20"/>
                <w:szCs w:val="20"/>
                <w:lang w:eastAsia="en-US"/>
              </w:rPr>
              <w:t xml:space="preserve"> </w:t>
            </w:r>
            <w:r w:rsidRPr="00AF4F76">
              <w:rPr>
                <w:rFonts w:ascii="Times New Roman" w:hAnsi="Times New Roman" w:cs="Times New Roman"/>
                <w:color w:val="auto"/>
                <w:sz w:val="20"/>
                <w:szCs w:val="20"/>
                <w:lang w:eastAsia="en-US"/>
              </w:rPr>
              <w:t>ceny lokalu mieszkalnego</w:t>
            </w:r>
            <w:r w:rsidR="00C766CF">
              <w:rPr>
                <w:rFonts w:ascii="Times New Roman" w:hAnsi="Times New Roman" w:cs="Times New Roman"/>
                <w:color w:val="auto"/>
                <w:sz w:val="20"/>
                <w:szCs w:val="20"/>
                <w:lang w:eastAsia="en-US"/>
              </w:rPr>
              <w:t>.</w:t>
            </w:r>
          </w:p>
          <w:p w14:paraId="0482B4A5" w14:textId="46B9232E" w:rsidR="00AF4F76" w:rsidRDefault="00AF4F76" w:rsidP="00712AA9">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2. W przypadku zakończenia ostatniego etapu przedsięwzięcia deweloperskiego lub zadania inwestycyjnego, określonego</w:t>
            </w:r>
            <w:r w:rsidR="00C766CF">
              <w:rPr>
                <w:rFonts w:ascii="Times New Roman" w:hAnsi="Times New Roman" w:cs="Times New Roman"/>
                <w:color w:val="auto"/>
                <w:sz w:val="20"/>
                <w:szCs w:val="20"/>
                <w:lang w:eastAsia="en-US"/>
              </w:rPr>
              <w:t xml:space="preserve"> w</w:t>
            </w:r>
            <w:r w:rsidRPr="00AF4F76">
              <w:rPr>
                <w:rFonts w:ascii="Times New Roman" w:hAnsi="Times New Roman" w:cs="Times New Roman"/>
                <w:color w:val="auto"/>
                <w:sz w:val="20"/>
                <w:szCs w:val="20"/>
                <w:lang w:eastAsia="en-US"/>
              </w:rPr>
              <w:t xml:space="preserve"> harmonogra</w:t>
            </w:r>
            <w:r w:rsidR="00C766CF">
              <w:rPr>
                <w:rFonts w:ascii="Times New Roman" w:hAnsi="Times New Roman" w:cs="Times New Roman"/>
                <w:color w:val="auto"/>
                <w:sz w:val="20"/>
                <w:szCs w:val="20"/>
                <w:lang w:eastAsia="en-US"/>
              </w:rPr>
              <w:t>mie</w:t>
            </w:r>
            <w:r w:rsidRPr="00AF4F76">
              <w:rPr>
                <w:rFonts w:ascii="Times New Roman" w:hAnsi="Times New Roman" w:cs="Times New Roman"/>
                <w:color w:val="auto"/>
                <w:sz w:val="20"/>
                <w:szCs w:val="20"/>
                <w:lang w:eastAsia="en-US"/>
              </w:rPr>
              <w:t>, bank wypłaca deweloperowi pozostałe na otwartym mieszkaniowym rachunku powierniczym środki pieniężne wpłacone przez nabywcę na poczet realizacji ostatniego etapu prac</w:t>
            </w:r>
            <w:r w:rsidR="00712AA9">
              <w:rPr>
                <w:rFonts w:ascii="Times New Roman" w:hAnsi="Times New Roman" w:cs="Times New Roman"/>
                <w:color w:val="auto"/>
                <w:sz w:val="20"/>
                <w:szCs w:val="20"/>
                <w:lang w:eastAsia="en-US"/>
              </w:rPr>
              <w:t>.</w:t>
            </w:r>
          </w:p>
          <w:p w14:paraId="5AABEFF3" w14:textId="370D380F" w:rsidR="00AF4F76" w:rsidRPr="00AF4F76" w:rsidRDefault="00C766CF" w:rsidP="00C766CF">
            <w:pPr>
              <w:contextualSpacing/>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lastRenderedPageBreak/>
              <w:t xml:space="preserve">3. </w:t>
            </w:r>
            <w:r w:rsidR="00AF4F76" w:rsidRPr="00AF4F76">
              <w:rPr>
                <w:rFonts w:ascii="Times New Roman" w:hAnsi="Times New Roman" w:cs="Times New Roman"/>
                <w:color w:val="auto"/>
                <w:sz w:val="20"/>
                <w:szCs w:val="20"/>
                <w:lang w:eastAsia="en-US"/>
              </w:rPr>
              <w:t>Bank dokonuje kontroli zakończenia każdego z etapów przedsięwzięcia deweloperskiego lub zadania inwestycyjnego przed wypłatą środków pieniężnych</w:t>
            </w:r>
            <w:r w:rsidR="00712AA9">
              <w:rPr>
                <w:rFonts w:ascii="Times New Roman" w:hAnsi="Times New Roman" w:cs="Times New Roman"/>
                <w:color w:val="auto"/>
                <w:sz w:val="20"/>
                <w:szCs w:val="20"/>
                <w:lang w:eastAsia="en-US"/>
              </w:rPr>
              <w:t>.</w:t>
            </w:r>
          </w:p>
          <w:p w14:paraId="3D558D83" w14:textId="55AF52A6" w:rsidR="00AF4F76" w:rsidRPr="00AF4F76" w:rsidRDefault="00AF4F76" w:rsidP="00C766CF">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W trakcie kontroli bank ma prawo wglądu do rachunków bankowych dewelopera oraz kontroli dokumentacji w zakresie dotyczącym przedsięwzięcia deweloperskiego lub zadania inwestycyjnego. Koszty kontroli ponosi deweloper.</w:t>
            </w:r>
          </w:p>
          <w:p w14:paraId="4A236C25" w14:textId="08F9F779" w:rsidR="00AF4F76" w:rsidRPr="00AF4F76" w:rsidRDefault="00AF4F76" w:rsidP="00C766CF">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Kontrola obejmuje</w:t>
            </w:r>
            <w:r w:rsidR="00C766CF">
              <w:rPr>
                <w:rFonts w:ascii="Times New Roman" w:hAnsi="Times New Roman" w:cs="Times New Roman"/>
                <w:color w:val="auto"/>
                <w:sz w:val="20"/>
                <w:szCs w:val="20"/>
                <w:lang w:eastAsia="en-US"/>
              </w:rPr>
              <w:t xml:space="preserve"> </w:t>
            </w:r>
            <w:r w:rsidRPr="00AF4F76">
              <w:rPr>
                <w:rFonts w:ascii="Times New Roman" w:hAnsi="Times New Roman" w:cs="Times New Roman"/>
                <w:color w:val="auto"/>
                <w:sz w:val="20"/>
                <w:szCs w:val="20"/>
                <w:lang w:eastAsia="en-US"/>
              </w:rPr>
              <w:t>sprawdzenie, czy:</w:t>
            </w:r>
          </w:p>
          <w:p w14:paraId="4BF8A1A8" w14:textId="2FD38ECD"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a) deweloper posiada tytuł własności</w:t>
            </w:r>
            <w:r w:rsidR="00712AA9">
              <w:rPr>
                <w:rFonts w:ascii="Times New Roman" w:hAnsi="Times New Roman" w:cs="Times New Roman"/>
                <w:color w:val="auto"/>
                <w:sz w:val="20"/>
                <w:szCs w:val="20"/>
                <w:lang w:eastAsia="en-US"/>
              </w:rPr>
              <w:t>,</w:t>
            </w:r>
          </w:p>
          <w:p w14:paraId="1C5E782F"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b) wobec dewelopera nie zostało wszczęte postępowanie restrukturyzacyjne albo upadłościowe, przez weryfikację wpisu w Krajowym Rejestrze Sądowym oraz informacji zawartych w Krajowym Rejestrze Zadłużonych,</w:t>
            </w:r>
          </w:p>
          <w:p w14:paraId="6F3567DB" w14:textId="621A2ADC"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c) deweloper posiada pozwolenie na budowę albo dokonał zgłoszenia budowy, do którego organ administracji architektoniczno-budowlanej nie wniósł sprzeciwu,</w:t>
            </w:r>
          </w:p>
          <w:p w14:paraId="6EDE3305" w14:textId="2E61A432"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 xml:space="preserve">d) planowane przez dewelopera przeznaczenie środków, które będą wypłacone z otwartego mieszkaniowego rachunku powierniczego, jest zgodne ze sposobem wydatkowania środków </w:t>
            </w:r>
            <w:r w:rsidR="00712AA9">
              <w:rPr>
                <w:rFonts w:ascii="Times New Roman" w:hAnsi="Times New Roman" w:cs="Times New Roman"/>
                <w:color w:val="auto"/>
                <w:sz w:val="20"/>
                <w:szCs w:val="20"/>
                <w:lang w:eastAsia="en-US"/>
              </w:rPr>
              <w:t>przez Dewelopera,</w:t>
            </w:r>
          </w:p>
          <w:p w14:paraId="5D582766" w14:textId="6D097F9C"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e) wydatkowanie środków wypłaconych z otwartego mieszkaniowego rachunku powierniczego jest zgodne ze sposobem wydatkowania środków</w:t>
            </w:r>
            <w:r w:rsidR="00712AA9">
              <w:rPr>
                <w:rFonts w:ascii="Times New Roman" w:hAnsi="Times New Roman" w:cs="Times New Roman"/>
                <w:color w:val="auto"/>
                <w:sz w:val="20"/>
                <w:szCs w:val="20"/>
                <w:lang w:eastAsia="en-US"/>
              </w:rPr>
              <w:t>,</w:t>
            </w:r>
          </w:p>
          <w:p w14:paraId="19EC5324"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f) deweloper nie zalega z podatkami i składkami na ubezpieczenie społeczne i zdrowotne,</w:t>
            </w:r>
          </w:p>
          <w:p w14:paraId="1A3E52D0"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g) deweloper uregulował wymagalne i bezsporne zobowiązania pieniężne wobec wykonawców lub podwykonawców,</w:t>
            </w:r>
          </w:p>
          <w:p w14:paraId="63FBBB05"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h) deweloper dokonał wpłaty składki, o której mowa w art. 49, w należnej wysokości,</w:t>
            </w:r>
          </w:p>
          <w:p w14:paraId="4B429744"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i) deweloper nie zalega ze zobowiązaniami wobec nabywców, którzy w ramach danego przedsięwzięcia deweloperskiego lub zadania inwestycyjnego odstąpili od umowy na podstawie art. 43 ust. 1-6,</w:t>
            </w:r>
          </w:p>
          <w:p w14:paraId="54B1ED7C"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j) deweloper nie zalega wobec Deweloperskiego Funduszu Gwarancyjnego ze zobowiązaniem wynikającym z realizacji przez ten fundusz zwrotu wpłat nabywcy w sytuacji, o której mowa w art. 48 ust. 1 pkt 6;</w:t>
            </w:r>
          </w:p>
          <w:p w14:paraId="48F08976" w14:textId="6B477014" w:rsidR="00AF4F76" w:rsidRPr="00AF4F76" w:rsidRDefault="00C766CF" w:rsidP="00AF4F76">
            <w:pPr>
              <w:ind w:left="2"/>
              <w:contextualSpacing/>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k</w:t>
            </w:r>
            <w:r w:rsidR="00AF4F76" w:rsidRPr="00AF4F76">
              <w:rPr>
                <w:rFonts w:ascii="Times New Roman" w:hAnsi="Times New Roman" w:cs="Times New Roman"/>
                <w:color w:val="auto"/>
                <w:sz w:val="20"/>
                <w:szCs w:val="20"/>
                <w:lang w:eastAsia="en-US"/>
              </w:rPr>
              <w:t>) ustalenie przez wyznaczoną przez bank osobę posiadającą odpowiednie uprawnienia budowlane, czy deweloper zakończył określony w harmonogramie etap realizacji przedsięwzięcia deweloperskiego lub zadania inwestycyjnego, polegające w szczególności na sprawdzeniu:</w:t>
            </w:r>
          </w:p>
          <w:p w14:paraId="4ED63E6C" w14:textId="236D3B14" w:rsidR="00AF4F76" w:rsidRPr="00AF4F76" w:rsidRDefault="00C766CF" w:rsidP="00AF4F76">
            <w:pPr>
              <w:ind w:left="2"/>
              <w:contextualSpacing/>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 xml:space="preserve">- </w:t>
            </w:r>
            <w:r w:rsidR="00AF4F76" w:rsidRPr="00AF4F76">
              <w:rPr>
                <w:rFonts w:ascii="Times New Roman" w:hAnsi="Times New Roman" w:cs="Times New Roman"/>
                <w:color w:val="auto"/>
                <w:sz w:val="20"/>
                <w:szCs w:val="20"/>
                <w:lang w:eastAsia="en-US"/>
              </w:rPr>
              <w:t>wpisu kierownika budowy w dzienniku budowy,</w:t>
            </w:r>
          </w:p>
          <w:p w14:paraId="0C2584D0" w14:textId="50E8510D" w:rsidR="00AF4F76" w:rsidRPr="00AF4F76" w:rsidRDefault="00C766CF" w:rsidP="00AF4F76">
            <w:pPr>
              <w:ind w:left="2"/>
              <w:contextualSpacing/>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 xml:space="preserve">- </w:t>
            </w:r>
            <w:r w:rsidR="00AF4F76" w:rsidRPr="00AF4F76">
              <w:rPr>
                <w:rFonts w:ascii="Times New Roman" w:hAnsi="Times New Roman" w:cs="Times New Roman"/>
                <w:color w:val="auto"/>
                <w:sz w:val="20"/>
                <w:szCs w:val="20"/>
                <w:lang w:eastAsia="en-US"/>
              </w:rPr>
              <w:t>udokumentowania faktycznego zaawansowania robót budowlanych na poziomie wymaganym dla kontrolowanego etapu,</w:t>
            </w:r>
          </w:p>
          <w:p w14:paraId="1664CF4B" w14:textId="186F2D43" w:rsidR="00AF4F76" w:rsidRDefault="00C766CF" w:rsidP="00AF4F76">
            <w:pPr>
              <w:ind w:left="2"/>
              <w:contextualSpacing/>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 xml:space="preserve">- </w:t>
            </w:r>
            <w:r w:rsidR="00AF4F76" w:rsidRPr="00AF4F76">
              <w:rPr>
                <w:rFonts w:ascii="Times New Roman" w:hAnsi="Times New Roman" w:cs="Times New Roman"/>
                <w:color w:val="auto"/>
                <w:sz w:val="20"/>
                <w:szCs w:val="20"/>
                <w:lang w:eastAsia="en-US"/>
              </w:rPr>
              <w:t>uzyskania decyzji o pozwoleniu na użytkowanie albo dokonania zawiadomienia o zakończeniu budowy - w przypadku zakończenia robót budowlanych.</w:t>
            </w:r>
          </w:p>
          <w:p w14:paraId="29399F03" w14:textId="77777777" w:rsidR="00C766CF" w:rsidRPr="00AF4F76" w:rsidRDefault="00C766CF" w:rsidP="00AF4F76">
            <w:pPr>
              <w:ind w:left="2"/>
              <w:contextualSpacing/>
              <w:rPr>
                <w:rFonts w:ascii="Times New Roman" w:hAnsi="Times New Roman" w:cs="Times New Roman"/>
                <w:color w:val="auto"/>
                <w:sz w:val="20"/>
                <w:szCs w:val="20"/>
                <w:lang w:eastAsia="en-US"/>
              </w:rPr>
            </w:pPr>
          </w:p>
          <w:p w14:paraId="34713EC6" w14:textId="276A4FC3"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Czynności kontrolne, o których mowa w us</w:t>
            </w:r>
            <w:r w:rsidR="00D6682D">
              <w:rPr>
                <w:rFonts w:ascii="Times New Roman" w:hAnsi="Times New Roman" w:cs="Times New Roman"/>
                <w:color w:val="auto"/>
                <w:sz w:val="20"/>
                <w:szCs w:val="20"/>
                <w:lang w:eastAsia="en-US"/>
              </w:rPr>
              <w:t>t. 3</w:t>
            </w:r>
            <w:r w:rsidRPr="00AF4F76">
              <w:rPr>
                <w:rFonts w:ascii="Times New Roman" w:hAnsi="Times New Roman" w:cs="Times New Roman"/>
                <w:color w:val="auto"/>
                <w:sz w:val="20"/>
                <w:szCs w:val="20"/>
                <w:lang w:eastAsia="en-US"/>
              </w:rPr>
              <w:t xml:space="preserve"> lit. d, f, g, i oraz j, są wykonywane na podstawie oświadczeń dewelopera.</w:t>
            </w:r>
          </w:p>
          <w:p w14:paraId="7781F330" w14:textId="7A82426C"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 xml:space="preserve">Przed dokonaniem wypłaty środków pieniężnych bank przeprowadza czynności kontrolne, o których mowa w ust. </w:t>
            </w:r>
            <w:r w:rsidR="00D6682D">
              <w:rPr>
                <w:rFonts w:ascii="Times New Roman" w:hAnsi="Times New Roman" w:cs="Times New Roman"/>
                <w:color w:val="auto"/>
                <w:sz w:val="20"/>
                <w:szCs w:val="20"/>
                <w:lang w:eastAsia="en-US"/>
              </w:rPr>
              <w:t>3</w:t>
            </w:r>
            <w:r w:rsidRPr="00AF4F76">
              <w:rPr>
                <w:rFonts w:ascii="Times New Roman" w:hAnsi="Times New Roman" w:cs="Times New Roman"/>
                <w:color w:val="auto"/>
                <w:sz w:val="20"/>
                <w:szCs w:val="20"/>
                <w:lang w:eastAsia="en-US"/>
              </w:rPr>
              <w:t xml:space="preserve"> lit. a, b, d oraz </w:t>
            </w:r>
            <w:proofErr w:type="spellStart"/>
            <w:r w:rsidRPr="00AF4F76">
              <w:rPr>
                <w:rFonts w:ascii="Times New Roman" w:hAnsi="Times New Roman" w:cs="Times New Roman"/>
                <w:color w:val="auto"/>
                <w:sz w:val="20"/>
                <w:szCs w:val="20"/>
                <w:lang w:eastAsia="en-US"/>
              </w:rPr>
              <w:t>f-</w:t>
            </w:r>
            <w:r w:rsidR="008D5A20">
              <w:rPr>
                <w:rFonts w:ascii="Times New Roman" w:hAnsi="Times New Roman" w:cs="Times New Roman"/>
                <w:color w:val="auto"/>
                <w:sz w:val="20"/>
                <w:szCs w:val="20"/>
                <w:lang w:eastAsia="en-US"/>
              </w:rPr>
              <w:t>k</w:t>
            </w:r>
            <w:proofErr w:type="spellEnd"/>
            <w:r w:rsidRPr="00AF4F76">
              <w:rPr>
                <w:rFonts w:ascii="Times New Roman" w:hAnsi="Times New Roman" w:cs="Times New Roman"/>
                <w:color w:val="auto"/>
                <w:sz w:val="20"/>
                <w:szCs w:val="20"/>
                <w:lang w:eastAsia="en-US"/>
              </w:rPr>
              <w:t>, oraz przeprowadza weryfikację posiadania przez dewelopera:</w:t>
            </w:r>
          </w:p>
          <w:p w14:paraId="4F5B80A8" w14:textId="52235D1B" w:rsidR="00AF4F76" w:rsidRPr="00AF4F76" w:rsidRDefault="00C766CF" w:rsidP="00AF4F76">
            <w:pPr>
              <w:ind w:left="2"/>
              <w:contextualSpacing/>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 xml:space="preserve">- </w:t>
            </w:r>
            <w:r w:rsidR="00AF4F76" w:rsidRPr="00AF4F76">
              <w:rPr>
                <w:rFonts w:ascii="Times New Roman" w:hAnsi="Times New Roman" w:cs="Times New Roman"/>
                <w:color w:val="auto"/>
                <w:sz w:val="20"/>
                <w:szCs w:val="20"/>
                <w:lang w:eastAsia="en-US"/>
              </w:rPr>
              <w:t>decyzji o pozwoleniu na użytkowanie lub zawiadomienia o zakończeniu budowy, do którego organ nadzoru budowlanego nie wniósł sprzeciwu, oraz</w:t>
            </w:r>
          </w:p>
          <w:p w14:paraId="04638F91" w14:textId="5E4264C9" w:rsidR="00AF4F76" w:rsidRDefault="00C766CF" w:rsidP="00AF4F76">
            <w:pPr>
              <w:ind w:left="2"/>
              <w:contextualSpacing/>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 xml:space="preserve">- </w:t>
            </w:r>
            <w:r w:rsidR="00AF4F76" w:rsidRPr="00AF4F76">
              <w:rPr>
                <w:rFonts w:ascii="Times New Roman" w:hAnsi="Times New Roman" w:cs="Times New Roman"/>
                <w:color w:val="auto"/>
                <w:sz w:val="20"/>
                <w:szCs w:val="20"/>
                <w:lang w:eastAsia="en-US"/>
              </w:rPr>
              <w:t>zaświadczenia o samodzielności</w:t>
            </w:r>
            <w:r w:rsidR="00712AA9">
              <w:rPr>
                <w:rFonts w:ascii="Times New Roman" w:hAnsi="Times New Roman" w:cs="Times New Roman"/>
                <w:color w:val="auto"/>
                <w:sz w:val="20"/>
                <w:szCs w:val="20"/>
                <w:lang w:eastAsia="en-US"/>
              </w:rPr>
              <w:t>.</w:t>
            </w:r>
          </w:p>
          <w:p w14:paraId="0D1C35DF" w14:textId="77777777" w:rsidR="00C766CF" w:rsidRPr="00AF4F76" w:rsidRDefault="00C766CF" w:rsidP="00AF4F76">
            <w:pPr>
              <w:ind w:left="2"/>
              <w:contextualSpacing/>
              <w:rPr>
                <w:rFonts w:ascii="Times New Roman" w:hAnsi="Times New Roman" w:cs="Times New Roman"/>
                <w:color w:val="auto"/>
                <w:sz w:val="20"/>
                <w:szCs w:val="20"/>
                <w:lang w:eastAsia="en-US"/>
              </w:rPr>
            </w:pPr>
          </w:p>
          <w:p w14:paraId="7A875BAE" w14:textId="6E118DCE" w:rsidR="00AF4F76" w:rsidRPr="00AF4F76" w:rsidRDefault="00C766CF" w:rsidP="00AF4F76">
            <w:pPr>
              <w:ind w:left="2"/>
              <w:contextualSpacing/>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 xml:space="preserve">4. </w:t>
            </w:r>
            <w:r w:rsidR="00AF4F76" w:rsidRPr="00AF4F76">
              <w:rPr>
                <w:rFonts w:ascii="Times New Roman" w:hAnsi="Times New Roman" w:cs="Times New Roman"/>
                <w:color w:val="auto"/>
                <w:sz w:val="20"/>
                <w:szCs w:val="20"/>
                <w:lang w:eastAsia="en-US"/>
              </w:rPr>
              <w:t>W przypadku:</w:t>
            </w:r>
          </w:p>
          <w:p w14:paraId="35D51048" w14:textId="70E19073" w:rsidR="00AF4F76" w:rsidRPr="00AF4F76" w:rsidRDefault="00FD6862" w:rsidP="00AF4F76">
            <w:pPr>
              <w:ind w:left="2"/>
              <w:contextualSpacing/>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 xml:space="preserve">- </w:t>
            </w:r>
            <w:r w:rsidR="00AF4F76" w:rsidRPr="00AF4F76">
              <w:rPr>
                <w:rFonts w:ascii="Times New Roman" w:hAnsi="Times New Roman" w:cs="Times New Roman"/>
                <w:color w:val="auto"/>
                <w:sz w:val="20"/>
                <w:szCs w:val="20"/>
                <w:lang w:eastAsia="en-US"/>
              </w:rPr>
              <w:t xml:space="preserve">negatywnej oceny jednego z elementów określonych w ust. </w:t>
            </w:r>
            <w:r w:rsidR="008D5A20">
              <w:rPr>
                <w:rFonts w:ascii="Times New Roman" w:hAnsi="Times New Roman" w:cs="Times New Roman"/>
                <w:color w:val="auto"/>
                <w:sz w:val="20"/>
                <w:szCs w:val="20"/>
                <w:lang w:eastAsia="en-US"/>
              </w:rPr>
              <w:t>3</w:t>
            </w:r>
            <w:r w:rsidR="00AF4F76" w:rsidRPr="00AF4F76">
              <w:rPr>
                <w:rFonts w:ascii="Times New Roman" w:hAnsi="Times New Roman" w:cs="Times New Roman"/>
                <w:color w:val="auto"/>
                <w:sz w:val="20"/>
                <w:szCs w:val="20"/>
                <w:lang w:eastAsia="en-US"/>
              </w:rPr>
              <w:t xml:space="preserve"> lit. a, c-e oraz h</w:t>
            </w:r>
            <w:r w:rsidR="008D5A20">
              <w:rPr>
                <w:rFonts w:ascii="Times New Roman" w:hAnsi="Times New Roman" w:cs="Times New Roman"/>
                <w:color w:val="auto"/>
                <w:sz w:val="20"/>
                <w:szCs w:val="20"/>
                <w:lang w:eastAsia="en-US"/>
              </w:rPr>
              <w:t>,</w:t>
            </w:r>
          </w:p>
          <w:p w14:paraId="49DE6D8D" w14:textId="30FABC23" w:rsidR="00AF4F76" w:rsidRPr="00AF4F76" w:rsidRDefault="00FD6862" w:rsidP="00AF4F76">
            <w:pPr>
              <w:ind w:left="2"/>
              <w:contextualSpacing/>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 xml:space="preserve">- </w:t>
            </w:r>
            <w:r w:rsidR="00AF4F76" w:rsidRPr="00AF4F76">
              <w:rPr>
                <w:rFonts w:ascii="Times New Roman" w:hAnsi="Times New Roman" w:cs="Times New Roman"/>
                <w:color w:val="auto"/>
                <w:sz w:val="20"/>
                <w:szCs w:val="20"/>
                <w:lang w:eastAsia="en-US"/>
              </w:rPr>
              <w:t xml:space="preserve">braku oświadczeń dewelopera, na podstawie których są wykonywane czynności kontrolne, o których mowa w ust. </w:t>
            </w:r>
            <w:r w:rsidR="008D5A20">
              <w:rPr>
                <w:rFonts w:ascii="Times New Roman" w:hAnsi="Times New Roman" w:cs="Times New Roman"/>
                <w:color w:val="auto"/>
                <w:sz w:val="20"/>
                <w:szCs w:val="20"/>
                <w:lang w:eastAsia="en-US"/>
              </w:rPr>
              <w:t xml:space="preserve">3 </w:t>
            </w:r>
            <w:r w:rsidR="00AF4F76" w:rsidRPr="00AF4F76">
              <w:rPr>
                <w:rFonts w:ascii="Times New Roman" w:hAnsi="Times New Roman" w:cs="Times New Roman"/>
                <w:color w:val="auto"/>
                <w:sz w:val="20"/>
                <w:szCs w:val="20"/>
                <w:lang w:eastAsia="en-US"/>
              </w:rPr>
              <w:t>lit. f, g</w:t>
            </w:r>
            <w:r w:rsidR="008D5A20">
              <w:rPr>
                <w:rFonts w:ascii="Times New Roman" w:hAnsi="Times New Roman" w:cs="Times New Roman"/>
                <w:color w:val="auto"/>
                <w:sz w:val="20"/>
                <w:szCs w:val="20"/>
                <w:lang w:eastAsia="en-US"/>
              </w:rPr>
              <w:t xml:space="preserve"> </w:t>
            </w:r>
            <w:r w:rsidR="00AF4F76" w:rsidRPr="00AF4F76">
              <w:rPr>
                <w:rFonts w:ascii="Times New Roman" w:hAnsi="Times New Roman" w:cs="Times New Roman"/>
                <w:color w:val="auto"/>
                <w:sz w:val="20"/>
                <w:szCs w:val="20"/>
                <w:lang w:eastAsia="en-US"/>
              </w:rPr>
              <w:t>oraz j,</w:t>
            </w:r>
          </w:p>
          <w:p w14:paraId="751D9A6D" w14:textId="0B050BF4" w:rsidR="00AF4F76" w:rsidRPr="00AF4F76" w:rsidRDefault="00FD6862" w:rsidP="00AF4F76">
            <w:pPr>
              <w:ind w:left="2"/>
              <w:contextualSpacing/>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 xml:space="preserve">- </w:t>
            </w:r>
            <w:r w:rsidR="00AF4F76" w:rsidRPr="00AF4F76">
              <w:rPr>
                <w:rFonts w:ascii="Times New Roman" w:hAnsi="Times New Roman" w:cs="Times New Roman"/>
                <w:color w:val="auto"/>
                <w:sz w:val="20"/>
                <w:szCs w:val="20"/>
                <w:lang w:eastAsia="en-US"/>
              </w:rPr>
              <w:t xml:space="preserve">wszczęcia wobec dewelopera postępowania restrukturyzacyjnego albo upadłościowego, o którym mowa w ust. </w:t>
            </w:r>
            <w:r w:rsidR="008D5A20">
              <w:rPr>
                <w:rFonts w:ascii="Times New Roman" w:hAnsi="Times New Roman" w:cs="Times New Roman"/>
                <w:color w:val="auto"/>
                <w:sz w:val="20"/>
                <w:szCs w:val="20"/>
                <w:lang w:eastAsia="en-US"/>
              </w:rPr>
              <w:t>3</w:t>
            </w:r>
            <w:r w:rsidR="00AF4F76" w:rsidRPr="00AF4F76">
              <w:rPr>
                <w:rFonts w:ascii="Times New Roman" w:hAnsi="Times New Roman" w:cs="Times New Roman"/>
                <w:color w:val="auto"/>
                <w:sz w:val="20"/>
                <w:szCs w:val="20"/>
                <w:lang w:eastAsia="en-US"/>
              </w:rPr>
              <w:t xml:space="preserve"> lit. b</w:t>
            </w:r>
          </w:p>
          <w:p w14:paraId="0BBA507F" w14:textId="4DB34985" w:rsid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bank wstrzymuje wypłatę środków pieniężnych i wyznacza deweloperowi termin na usunięcie nieprawidłowości.</w:t>
            </w:r>
          </w:p>
          <w:p w14:paraId="296048B0" w14:textId="77777777" w:rsidR="00FD6862" w:rsidRPr="00AF4F76" w:rsidRDefault="00FD6862" w:rsidP="00AF4F76">
            <w:pPr>
              <w:ind w:left="2"/>
              <w:contextualSpacing/>
              <w:rPr>
                <w:rFonts w:ascii="Times New Roman" w:hAnsi="Times New Roman" w:cs="Times New Roman"/>
                <w:color w:val="auto"/>
                <w:sz w:val="20"/>
                <w:szCs w:val="20"/>
                <w:lang w:eastAsia="en-US"/>
              </w:rPr>
            </w:pPr>
          </w:p>
          <w:p w14:paraId="05AEC639" w14:textId="600154A1" w:rsidR="00AF4F76" w:rsidRPr="00AF4F76" w:rsidRDefault="00AF4F76" w:rsidP="00FD6862">
            <w:pPr>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Bank wypłaca deweloperowi środki pieniężne</w:t>
            </w:r>
            <w:r w:rsidR="00712AA9">
              <w:rPr>
                <w:rFonts w:ascii="Times New Roman" w:hAnsi="Times New Roman" w:cs="Times New Roman"/>
                <w:color w:val="auto"/>
                <w:sz w:val="20"/>
                <w:szCs w:val="20"/>
                <w:lang w:eastAsia="en-US"/>
              </w:rPr>
              <w:t xml:space="preserve"> </w:t>
            </w:r>
            <w:r w:rsidRPr="00AF4F76">
              <w:rPr>
                <w:rFonts w:ascii="Times New Roman" w:hAnsi="Times New Roman" w:cs="Times New Roman"/>
                <w:color w:val="auto"/>
                <w:sz w:val="20"/>
                <w:szCs w:val="20"/>
                <w:lang w:eastAsia="en-US"/>
              </w:rPr>
              <w:t xml:space="preserve">wyłącznie po usunięciu nieprawidłowości, o których mowa w ust. </w:t>
            </w:r>
            <w:r w:rsidR="008D5A20">
              <w:rPr>
                <w:rFonts w:ascii="Times New Roman" w:hAnsi="Times New Roman" w:cs="Times New Roman"/>
                <w:color w:val="auto"/>
                <w:sz w:val="20"/>
                <w:szCs w:val="20"/>
                <w:lang w:eastAsia="en-US"/>
              </w:rPr>
              <w:t>4</w:t>
            </w:r>
            <w:r w:rsidRPr="00AF4F76">
              <w:rPr>
                <w:rFonts w:ascii="Times New Roman" w:hAnsi="Times New Roman" w:cs="Times New Roman"/>
                <w:color w:val="auto"/>
                <w:sz w:val="20"/>
                <w:szCs w:val="20"/>
                <w:lang w:eastAsia="en-US"/>
              </w:rPr>
              <w:t>.</w:t>
            </w:r>
          </w:p>
          <w:p w14:paraId="1CF72105" w14:textId="75677356"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lastRenderedPageBreak/>
              <w:t>Bank może dokonać kontroli zakończenia każdego z etapów przedsięwzięcia deweloperskiego lub zadania inwestycyjnego przed wypłatą środków pieniężnych, także w zakresie szerszym ni</w:t>
            </w:r>
            <w:r w:rsidR="00712AA9">
              <w:rPr>
                <w:rFonts w:ascii="Times New Roman" w:hAnsi="Times New Roman" w:cs="Times New Roman"/>
                <w:color w:val="auto"/>
                <w:sz w:val="20"/>
                <w:szCs w:val="20"/>
                <w:lang w:eastAsia="en-US"/>
              </w:rPr>
              <w:t>ż określony.</w:t>
            </w:r>
          </w:p>
          <w:p w14:paraId="462B6DB7" w14:textId="77777777" w:rsidR="00712AA9" w:rsidRDefault="00712AA9" w:rsidP="00AF4F76">
            <w:pPr>
              <w:ind w:left="2"/>
              <w:contextualSpacing/>
              <w:rPr>
                <w:rFonts w:ascii="Times New Roman" w:hAnsi="Times New Roman" w:cs="Times New Roman"/>
                <w:sz w:val="20"/>
                <w:szCs w:val="20"/>
                <w:u w:val="single"/>
              </w:rPr>
            </w:pPr>
          </w:p>
          <w:p w14:paraId="1EF187A9" w14:textId="53BE0543" w:rsidR="00AF4F76" w:rsidRDefault="00FD6862" w:rsidP="00AF4F76">
            <w:pPr>
              <w:ind w:left="2"/>
              <w:contextualSpacing/>
              <w:rPr>
                <w:rFonts w:ascii="Times New Roman" w:hAnsi="Times New Roman" w:cs="Times New Roman"/>
                <w:sz w:val="20"/>
                <w:szCs w:val="20"/>
              </w:rPr>
            </w:pPr>
            <w:r>
              <w:rPr>
                <w:rFonts w:ascii="Times New Roman" w:hAnsi="Times New Roman" w:cs="Times New Roman"/>
                <w:sz w:val="20"/>
                <w:szCs w:val="20"/>
              </w:rPr>
              <w:t>5.</w:t>
            </w:r>
            <w:r w:rsidR="00AF4F76">
              <w:rPr>
                <w:rFonts w:ascii="Times New Roman" w:hAnsi="Times New Roman" w:cs="Times New Roman"/>
                <w:sz w:val="20"/>
                <w:szCs w:val="20"/>
              </w:rPr>
              <w:t>W przypadku odstąpienia na podstawie art. 43 od umowy deweloperskiej albo umowy, o której mowa w art. 2 ust. 1 pkt 2, 3 lub 5, przez jedną ze stron, bank wypłaca nabywcy przypadające mu środki pieniężne pozostałe na mieszkaniowym rachunku powierniczym w nominalnej wysokości po otrzymaniu oświadczenia o odstąpieniu od jednej z tych umów.</w:t>
            </w:r>
          </w:p>
          <w:p w14:paraId="20B46E21" w14:textId="77777777" w:rsidR="00FD6862" w:rsidRDefault="00FD6862" w:rsidP="00AF4F76">
            <w:pPr>
              <w:ind w:left="2"/>
              <w:contextualSpacing/>
              <w:rPr>
                <w:rFonts w:ascii="Times New Roman" w:hAnsi="Times New Roman" w:cs="Times New Roman"/>
                <w:sz w:val="20"/>
                <w:szCs w:val="20"/>
              </w:rPr>
            </w:pPr>
          </w:p>
          <w:p w14:paraId="32EE1970" w14:textId="7F578B02" w:rsidR="00AF4F76" w:rsidRDefault="00FD6862" w:rsidP="00AF4F76">
            <w:pPr>
              <w:ind w:left="2"/>
              <w:contextualSpacing/>
              <w:rPr>
                <w:rFonts w:ascii="Times New Roman" w:hAnsi="Times New Roman" w:cs="Times New Roman"/>
                <w:sz w:val="20"/>
                <w:szCs w:val="20"/>
              </w:rPr>
            </w:pPr>
            <w:r>
              <w:rPr>
                <w:rFonts w:ascii="Times New Roman" w:hAnsi="Times New Roman" w:cs="Times New Roman"/>
                <w:sz w:val="20"/>
                <w:szCs w:val="20"/>
              </w:rPr>
              <w:t>6.</w:t>
            </w:r>
            <w:r w:rsidR="00AF4F76">
              <w:rPr>
                <w:rFonts w:ascii="Times New Roman" w:hAnsi="Times New Roman" w:cs="Times New Roman"/>
                <w:sz w:val="20"/>
                <w:szCs w:val="20"/>
              </w:rPr>
              <w:t xml:space="preserve">Przepis ust. 1 stosuje się odpowiednio w przypadku odstąpienia od umowy deweloperskiej przez syndyka na </w:t>
            </w:r>
            <w:r w:rsidR="00AF4F76" w:rsidRPr="00D6682D">
              <w:rPr>
                <w:rFonts w:ascii="Times New Roman" w:hAnsi="Times New Roman" w:cs="Times New Roman"/>
                <w:sz w:val="20"/>
                <w:szCs w:val="20"/>
              </w:rPr>
              <w:t xml:space="preserve">podstawie </w:t>
            </w:r>
            <w:hyperlink r:id="rId10" w:anchor="/document/17021464?unitId=art(98)&amp;cm=DOCUMENT" w:history="1">
              <w:r w:rsidR="00AF4F76" w:rsidRPr="00065017">
                <w:rPr>
                  <w:rStyle w:val="Hipercze"/>
                  <w:rFonts w:ascii="Times New Roman" w:hAnsi="Times New Roman" w:cs="Times New Roman"/>
                  <w:color w:val="auto"/>
                  <w:sz w:val="20"/>
                  <w:szCs w:val="20"/>
                  <w:u w:val="none"/>
                </w:rPr>
                <w:t>art. 98</w:t>
              </w:r>
            </w:hyperlink>
            <w:r w:rsidR="00AF4F76" w:rsidRPr="00D6682D">
              <w:rPr>
                <w:rFonts w:ascii="Times New Roman" w:hAnsi="Times New Roman" w:cs="Times New Roman"/>
                <w:sz w:val="20"/>
                <w:szCs w:val="20"/>
              </w:rPr>
              <w:t xml:space="preserve"> ustawy z dnia 28 lutego 2003 r. - Prawo upadłościowe (Dz. U. z 2020 r. poz. 1228 i 2320 oraz z 2021 r. poz. 1080 i 1177) lub przez zarządcę w trybie </w:t>
            </w:r>
            <w:hyperlink r:id="rId11" w:anchor="/document/18208902?unitId=art(298)&amp;cm=DOCUMENT" w:history="1">
              <w:r w:rsidR="00AF4F76" w:rsidRPr="00065017">
                <w:rPr>
                  <w:rStyle w:val="Hipercze"/>
                  <w:rFonts w:ascii="Times New Roman" w:hAnsi="Times New Roman" w:cs="Times New Roman"/>
                  <w:color w:val="auto"/>
                  <w:sz w:val="20"/>
                  <w:szCs w:val="20"/>
                  <w:u w:val="none"/>
                </w:rPr>
                <w:t>art. 298</w:t>
              </w:r>
            </w:hyperlink>
            <w:r w:rsidR="00AF4F76" w:rsidRPr="00D6682D">
              <w:rPr>
                <w:rFonts w:ascii="Times New Roman" w:hAnsi="Times New Roman" w:cs="Times New Roman"/>
                <w:sz w:val="20"/>
                <w:szCs w:val="20"/>
              </w:rPr>
              <w:t xml:space="preserve"> ustawy</w:t>
            </w:r>
            <w:r w:rsidR="00AF4F76">
              <w:rPr>
                <w:rFonts w:ascii="Times New Roman" w:hAnsi="Times New Roman" w:cs="Times New Roman"/>
                <w:sz w:val="20"/>
                <w:szCs w:val="20"/>
              </w:rPr>
              <w:t xml:space="preserve"> z dnia 15 maja 2015 r. - Prawo restrukturyzacyjne (Dz. U. z 2020 r. poz. 814 i 1298 oraz z 2021 r. poz. 1080 i 1177).</w:t>
            </w:r>
          </w:p>
          <w:p w14:paraId="50ECD325" w14:textId="6E93343E" w:rsidR="00AF4F76" w:rsidRPr="00AF4F76" w:rsidRDefault="00AF4F76" w:rsidP="00AF4F76">
            <w:pPr>
              <w:ind w:left="2"/>
              <w:contextualSpacing/>
              <w:rPr>
                <w:rFonts w:ascii="Times New Roman" w:hAnsi="Times New Roman" w:cs="Times New Roman"/>
                <w:sz w:val="20"/>
                <w:szCs w:val="20"/>
              </w:rPr>
            </w:pPr>
            <w:r>
              <w:rPr>
                <w:rFonts w:ascii="Times New Roman" w:eastAsia="Times New Roman" w:hAnsi="Times New Roman" w:cs="Times New Roman"/>
                <w:sz w:val="20"/>
              </w:rPr>
              <w:t xml:space="preserve"> </w:t>
            </w:r>
          </w:p>
        </w:tc>
      </w:tr>
      <w:tr w:rsidR="004A009C" w14:paraId="2E3ABCAC" w14:textId="77777777" w:rsidTr="00BE12A5">
        <w:trPr>
          <w:trHeight w:val="989"/>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A1D39D" w14:textId="77777777" w:rsidR="004A009C" w:rsidRDefault="00B365B2">
            <w:r>
              <w:rPr>
                <w:rFonts w:ascii="Times New Roman" w:eastAsia="Times New Roman" w:hAnsi="Times New Roman" w:cs="Times New Roman"/>
                <w:sz w:val="20"/>
              </w:rPr>
              <w:lastRenderedPageBreak/>
              <w:t xml:space="preserve">Nazwa instytucji zapewniającej bezpieczeństwo środków nabywcy </w:t>
            </w:r>
          </w:p>
        </w:tc>
        <w:tc>
          <w:tcPr>
            <w:tcW w:w="3419" w:type="dxa"/>
            <w:tcBorders>
              <w:top w:val="single" w:sz="4" w:space="0" w:color="000000"/>
              <w:left w:val="single" w:sz="4" w:space="0" w:color="000000"/>
              <w:bottom w:val="single" w:sz="4" w:space="0" w:color="000000"/>
              <w:right w:val="nil"/>
            </w:tcBorders>
          </w:tcPr>
          <w:p w14:paraId="628956FE" w14:textId="50AE426B" w:rsidR="00BE12A5" w:rsidRDefault="00B365B2" w:rsidP="00BE12A5">
            <w:r>
              <w:rPr>
                <w:rFonts w:ascii="Times New Roman" w:eastAsia="Times New Roman" w:hAnsi="Times New Roman" w:cs="Times New Roman"/>
                <w:sz w:val="20"/>
              </w:rPr>
              <w:t xml:space="preserve"> </w:t>
            </w:r>
            <w:r w:rsidR="002F3F66">
              <w:rPr>
                <w:rFonts w:ascii="Times New Roman" w:eastAsia="Times New Roman" w:hAnsi="Times New Roman" w:cs="Times New Roman"/>
                <w:sz w:val="20"/>
              </w:rPr>
              <w:t>Mazowiecki Bank Spółdzielczy z siedzibą w Łomiankach</w:t>
            </w:r>
          </w:p>
          <w:p w14:paraId="44402ACA" w14:textId="7C5B8EEA" w:rsidR="004A009C" w:rsidRDefault="004A009C" w:rsidP="00EC6EC6">
            <w:pPr>
              <w:ind w:left="2"/>
            </w:pPr>
          </w:p>
        </w:tc>
        <w:tc>
          <w:tcPr>
            <w:tcW w:w="3419" w:type="dxa"/>
            <w:tcBorders>
              <w:top w:val="single" w:sz="4" w:space="0" w:color="000000"/>
              <w:left w:val="nil"/>
              <w:bottom w:val="single" w:sz="4" w:space="0" w:color="000000"/>
              <w:right w:val="single" w:sz="4" w:space="0" w:color="000000"/>
            </w:tcBorders>
          </w:tcPr>
          <w:p w14:paraId="6CB671DA" w14:textId="77777777" w:rsidR="004A009C" w:rsidRDefault="004A009C"/>
        </w:tc>
      </w:tr>
      <w:tr w:rsidR="00BE12A5" w14:paraId="4805D801" w14:textId="77777777" w:rsidTr="00406F73">
        <w:trPr>
          <w:trHeight w:val="988"/>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3DFDD8E" w14:textId="1123DE46" w:rsidR="00BE12A5" w:rsidRDefault="00BE12A5">
            <w:pPr>
              <w:rPr>
                <w:rFonts w:ascii="Times New Roman" w:eastAsia="Times New Roman" w:hAnsi="Times New Roman" w:cs="Times New Roman"/>
                <w:sz w:val="20"/>
              </w:rPr>
            </w:pPr>
            <w:r>
              <w:rPr>
                <w:rFonts w:ascii="Times New Roman" w:eastAsia="Times New Roman" w:hAnsi="Times New Roman" w:cs="Times New Roman"/>
                <w:sz w:val="20"/>
              </w:rPr>
              <w:t xml:space="preserve">Harmonogram przedsięwzięcia deweloperskiego lub zadania inwestycyjnego </w:t>
            </w:r>
          </w:p>
          <w:p w14:paraId="3BCDEF9D" w14:textId="77777777" w:rsidR="00BE12A5" w:rsidRPr="00ED1A1F" w:rsidRDefault="00BE12A5" w:rsidP="002B456A">
            <w:pPr>
              <w:jc w:val="center"/>
              <w:rPr>
                <w:rFonts w:ascii="Times New Roman" w:eastAsia="Times New Roman" w:hAnsi="Times New Roman" w:cs="Times New Roman"/>
                <w:sz w:val="20"/>
                <w:szCs w:val="20"/>
              </w:rPr>
            </w:pPr>
            <w:r w:rsidRPr="00ED1A1F">
              <w:rPr>
                <w:rFonts w:ascii="Times New Roman" w:eastAsia="Times New Roman" w:hAnsi="Times New Roman" w:cs="Times New Roman"/>
                <w:sz w:val="20"/>
                <w:szCs w:val="20"/>
              </w:rPr>
              <w:t>I ETAP</w:t>
            </w:r>
          </w:p>
          <w:p w14:paraId="2BEE73E1" w14:textId="3FA0B52A" w:rsidR="00BE12A5" w:rsidRPr="00ED1A1F" w:rsidRDefault="006C41C5" w:rsidP="002B456A">
            <w:pPr>
              <w:jc w:val="center"/>
              <w:rPr>
                <w:sz w:val="20"/>
                <w:szCs w:val="20"/>
              </w:rPr>
            </w:pPr>
            <w:r>
              <w:rPr>
                <w:sz w:val="20"/>
                <w:szCs w:val="20"/>
              </w:rPr>
              <w:t xml:space="preserve">(do </w:t>
            </w:r>
            <w:r w:rsidR="000A2702">
              <w:rPr>
                <w:sz w:val="20"/>
                <w:szCs w:val="20"/>
              </w:rPr>
              <w:t>2</w:t>
            </w:r>
            <w:r w:rsidR="003D62AF">
              <w:rPr>
                <w:sz w:val="20"/>
                <w:szCs w:val="20"/>
              </w:rPr>
              <w:t>4</w:t>
            </w:r>
            <w:r>
              <w:rPr>
                <w:sz w:val="20"/>
                <w:szCs w:val="20"/>
              </w:rPr>
              <w:t>.1</w:t>
            </w:r>
            <w:r w:rsidR="000A2702">
              <w:rPr>
                <w:sz w:val="20"/>
                <w:szCs w:val="20"/>
              </w:rPr>
              <w:t>1</w:t>
            </w:r>
            <w:r>
              <w:rPr>
                <w:sz w:val="20"/>
                <w:szCs w:val="20"/>
              </w:rPr>
              <w:t>.2023 r.)</w:t>
            </w:r>
          </w:p>
          <w:p w14:paraId="35D36F91" w14:textId="77777777" w:rsidR="00BE12A5" w:rsidRPr="00ED1A1F" w:rsidRDefault="00BE12A5" w:rsidP="002B456A">
            <w:pPr>
              <w:jc w:val="center"/>
              <w:rPr>
                <w:sz w:val="20"/>
                <w:szCs w:val="20"/>
              </w:rPr>
            </w:pPr>
          </w:p>
          <w:p w14:paraId="435E9E7E" w14:textId="77777777" w:rsidR="00BE12A5" w:rsidRDefault="00BE12A5" w:rsidP="002B456A">
            <w:pPr>
              <w:jc w:val="center"/>
              <w:rPr>
                <w:sz w:val="20"/>
                <w:szCs w:val="20"/>
              </w:rPr>
            </w:pPr>
          </w:p>
          <w:p w14:paraId="05765742" w14:textId="77777777" w:rsidR="00935709" w:rsidRPr="00ED1A1F" w:rsidRDefault="00935709" w:rsidP="002B456A">
            <w:pPr>
              <w:jc w:val="center"/>
              <w:rPr>
                <w:sz w:val="20"/>
                <w:szCs w:val="20"/>
              </w:rPr>
            </w:pPr>
          </w:p>
          <w:p w14:paraId="4A5538A0" w14:textId="77777777" w:rsidR="00BE12A5" w:rsidRDefault="00BE12A5" w:rsidP="002B456A">
            <w:pPr>
              <w:jc w:val="center"/>
              <w:rPr>
                <w:sz w:val="20"/>
                <w:szCs w:val="20"/>
              </w:rPr>
            </w:pPr>
          </w:p>
          <w:p w14:paraId="2959995B" w14:textId="77777777" w:rsidR="00ED1A1F" w:rsidRPr="00ED1A1F" w:rsidRDefault="00ED1A1F" w:rsidP="002B456A">
            <w:pPr>
              <w:jc w:val="center"/>
              <w:rPr>
                <w:sz w:val="20"/>
                <w:szCs w:val="20"/>
              </w:rPr>
            </w:pPr>
          </w:p>
          <w:p w14:paraId="2547D838" w14:textId="77777777" w:rsidR="00BE12A5" w:rsidRPr="00ED1A1F" w:rsidRDefault="00BE12A5" w:rsidP="00BE12A5">
            <w:pPr>
              <w:rPr>
                <w:sz w:val="20"/>
                <w:szCs w:val="20"/>
              </w:rPr>
            </w:pPr>
          </w:p>
          <w:p w14:paraId="0ED9C2B0" w14:textId="7278F47A" w:rsidR="00BE12A5" w:rsidRPr="00ED1A1F" w:rsidRDefault="00BE12A5" w:rsidP="00BE12A5">
            <w:pPr>
              <w:jc w:val="center"/>
              <w:rPr>
                <w:rFonts w:ascii="Times New Roman" w:eastAsia="Times New Roman" w:hAnsi="Times New Roman" w:cs="Times New Roman"/>
                <w:sz w:val="20"/>
                <w:szCs w:val="20"/>
              </w:rPr>
            </w:pPr>
            <w:r w:rsidRPr="00ED1A1F">
              <w:rPr>
                <w:rFonts w:ascii="Times New Roman" w:eastAsia="Times New Roman" w:hAnsi="Times New Roman" w:cs="Times New Roman"/>
                <w:sz w:val="20"/>
                <w:szCs w:val="20"/>
              </w:rPr>
              <w:t>II ETAP</w:t>
            </w:r>
          </w:p>
          <w:p w14:paraId="57FCCEB0" w14:textId="42521193" w:rsidR="00BE12A5" w:rsidRPr="00ED1A1F" w:rsidRDefault="006C41C5" w:rsidP="002B456A">
            <w:pPr>
              <w:jc w:val="center"/>
              <w:rPr>
                <w:sz w:val="20"/>
                <w:szCs w:val="20"/>
              </w:rPr>
            </w:pPr>
            <w:r>
              <w:rPr>
                <w:sz w:val="20"/>
                <w:szCs w:val="20"/>
              </w:rPr>
              <w:t xml:space="preserve">(do </w:t>
            </w:r>
            <w:r w:rsidR="000A2702">
              <w:rPr>
                <w:sz w:val="20"/>
                <w:szCs w:val="20"/>
              </w:rPr>
              <w:t>15</w:t>
            </w:r>
            <w:r>
              <w:rPr>
                <w:sz w:val="20"/>
                <w:szCs w:val="20"/>
              </w:rPr>
              <w:t>.1</w:t>
            </w:r>
            <w:r w:rsidR="000A2702">
              <w:rPr>
                <w:sz w:val="20"/>
                <w:szCs w:val="20"/>
              </w:rPr>
              <w:t>2</w:t>
            </w:r>
            <w:r>
              <w:rPr>
                <w:sz w:val="20"/>
                <w:szCs w:val="20"/>
              </w:rPr>
              <w:t>.2023 r.)</w:t>
            </w:r>
          </w:p>
          <w:p w14:paraId="377F6AF0" w14:textId="77777777" w:rsidR="00BE12A5" w:rsidRDefault="00BE12A5" w:rsidP="002B456A">
            <w:pPr>
              <w:jc w:val="center"/>
              <w:rPr>
                <w:sz w:val="20"/>
                <w:szCs w:val="20"/>
              </w:rPr>
            </w:pPr>
          </w:p>
          <w:p w14:paraId="22FDDED6" w14:textId="77777777" w:rsidR="00ED1A1F" w:rsidRDefault="00ED1A1F" w:rsidP="002B456A">
            <w:pPr>
              <w:jc w:val="center"/>
              <w:rPr>
                <w:sz w:val="20"/>
                <w:szCs w:val="20"/>
              </w:rPr>
            </w:pPr>
          </w:p>
          <w:p w14:paraId="149C4029" w14:textId="77777777" w:rsidR="00935709" w:rsidRPr="00ED1A1F" w:rsidRDefault="00935709" w:rsidP="00935709">
            <w:pPr>
              <w:rPr>
                <w:sz w:val="20"/>
                <w:szCs w:val="20"/>
              </w:rPr>
            </w:pPr>
          </w:p>
          <w:p w14:paraId="661BB7F9" w14:textId="77777777" w:rsidR="00BE12A5" w:rsidRPr="00ED1A1F" w:rsidRDefault="00BE12A5" w:rsidP="002B456A">
            <w:pPr>
              <w:jc w:val="center"/>
              <w:rPr>
                <w:sz w:val="20"/>
                <w:szCs w:val="20"/>
              </w:rPr>
            </w:pPr>
          </w:p>
          <w:p w14:paraId="369FBEE5" w14:textId="296B1A8E" w:rsidR="00BE12A5" w:rsidRPr="00ED1A1F" w:rsidRDefault="00BE12A5" w:rsidP="00BE12A5">
            <w:pPr>
              <w:jc w:val="center"/>
              <w:rPr>
                <w:rFonts w:ascii="Times New Roman" w:eastAsia="Times New Roman" w:hAnsi="Times New Roman" w:cs="Times New Roman"/>
                <w:sz w:val="20"/>
                <w:szCs w:val="20"/>
              </w:rPr>
            </w:pPr>
            <w:r w:rsidRPr="00ED1A1F">
              <w:rPr>
                <w:rFonts w:ascii="Times New Roman" w:eastAsia="Times New Roman" w:hAnsi="Times New Roman" w:cs="Times New Roman"/>
                <w:sz w:val="20"/>
                <w:szCs w:val="20"/>
              </w:rPr>
              <w:t>III ETAP</w:t>
            </w:r>
          </w:p>
          <w:p w14:paraId="1EA989E3" w14:textId="0988DECA" w:rsidR="00BE12A5" w:rsidRPr="00ED1A1F" w:rsidRDefault="006C41C5" w:rsidP="002B456A">
            <w:pPr>
              <w:jc w:val="center"/>
              <w:rPr>
                <w:sz w:val="20"/>
                <w:szCs w:val="20"/>
              </w:rPr>
            </w:pPr>
            <w:r>
              <w:rPr>
                <w:sz w:val="20"/>
                <w:szCs w:val="20"/>
              </w:rPr>
              <w:t>(do 31.12.2023 r.)</w:t>
            </w:r>
          </w:p>
          <w:p w14:paraId="1BE955B1" w14:textId="77777777" w:rsidR="00935709" w:rsidRDefault="00935709" w:rsidP="00935709">
            <w:pPr>
              <w:rPr>
                <w:sz w:val="20"/>
                <w:szCs w:val="20"/>
              </w:rPr>
            </w:pPr>
          </w:p>
          <w:p w14:paraId="56CDC94D" w14:textId="77777777" w:rsidR="00935709" w:rsidRPr="00ED1A1F" w:rsidRDefault="00935709" w:rsidP="00935709">
            <w:pPr>
              <w:rPr>
                <w:sz w:val="20"/>
                <w:szCs w:val="20"/>
              </w:rPr>
            </w:pPr>
          </w:p>
          <w:p w14:paraId="1075D9AD" w14:textId="77777777" w:rsidR="00BE12A5" w:rsidRPr="00ED1A1F" w:rsidRDefault="00BE12A5" w:rsidP="002B456A">
            <w:pPr>
              <w:jc w:val="center"/>
              <w:rPr>
                <w:sz w:val="20"/>
                <w:szCs w:val="20"/>
              </w:rPr>
            </w:pPr>
          </w:p>
          <w:p w14:paraId="5BF014F2" w14:textId="4457ECE5" w:rsidR="00BE12A5" w:rsidRPr="00ED1A1F" w:rsidRDefault="00BE12A5" w:rsidP="00BE12A5">
            <w:pPr>
              <w:jc w:val="center"/>
              <w:rPr>
                <w:rFonts w:ascii="Times New Roman" w:eastAsia="Times New Roman" w:hAnsi="Times New Roman" w:cs="Times New Roman"/>
                <w:sz w:val="20"/>
                <w:szCs w:val="20"/>
              </w:rPr>
            </w:pPr>
            <w:r w:rsidRPr="00ED1A1F">
              <w:rPr>
                <w:rFonts w:ascii="Times New Roman" w:eastAsia="Times New Roman" w:hAnsi="Times New Roman" w:cs="Times New Roman"/>
                <w:sz w:val="20"/>
                <w:szCs w:val="20"/>
              </w:rPr>
              <w:t>IV ETAP</w:t>
            </w:r>
          </w:p>
          <w:p w14:paraId="088C839B" w14:textId="6D878391" w:rsidR="00BE12A5" w:rsidRDefault="006C41C5" w:rsidP="002B456A">
            <w:pPr>
              <w:jc w:val="center"/>
              <w:rPr>
                <w:sz w:val="20"/>
                <w:szCs w:val="20"/>
              </w:rPr>
            </w:pPr>
            <w:r>
              <w:rPr>
                <w:sz w:val="20"/>
                <w:szCs w:val="20"/>
              </w:rPr>
              <w:t>(do 30.03.2024 r.)</w:t>
            </w:r>
          </w:p>
          <w:p w14:paraId="5AB3E59E" w14:textId="77777777" w:rsidR="00935709" w:rsidRDefault="00935709" w:rsidP="002B456A">
            <w:pPr>
              <w:jc w:val="center"/>
              <w:rPr>
                <w:sz w:val="20"/>
                <w:szCs w:val="20"/>
              </w:rPr>
            </w:pPr>
          </w:p>
          <w:p w14:paraId="4525144C" w14:textId="77777777" w:rsidR="00935709" w:rsidRDefault="00935709" w:rsidP="002B456A">
            <w:pPr>
              <w:jc w:val="center"/>
              <w:rPr>
                <w:sz w:val="20"/>
                <w:szCs w:val="20"/>
              </w:rPr>
            </w:pPr>
          </w:p>
          <w:p w14:paraId="575B9039" w14:textId="77777777" w:rsidR="00ED1A1F" w:rsidRPr="00ED1A1F" w:rsidRDefault="00ED1A1F" w:rsidP="002B456A">
            <w:pPr>
              <w:jc w:val="center"/>
              <w:rPr>
                <w:sz w:val="20"/>
                <w:szCs w:val="20"/>
              </w:rPr>
            </w:pPr>
          </w:p>
          <w:p w14:paraId="012033BC" w14:textId="4B6D6A98" w:rsidR="00ED1A1F" w:rsidRPr="00ED1A1F" w:rsidRDefault="005D6810" w:rsidP="00ED1A1F">
            <w:pPr>
              <w:jc w:val="center"/>
              <w:rPr>
                <w:rFonts w:ascii="Times New Roman" w:eastAsia="Times New Roman" w:hAnsi="Times New Roman" w:cs="Times New Roman"/>
                <w:sz w:val="20"/>
                <w:szCs w:val="20"/>
              </w:rPr>
            </w:pPr>
            <w:r w:rsidRPr="00ED1A1F">
              <w:rPr>
                <w:rFonts w:ascii="Times New Roman" w:eastAsia="Times New Roman" w:hAnsi="Times New Roman" w:cs="Times New Roman"/>
                <w:sz w:val="20"/>
                <w:szCs w:val="20"/>
              </w:rPr>
              <w:t>V ETAP</w:t>
            </w:r>
          </w:p>
          <w:p w14:paraId="4E9D7160" w14:textId="7C408E06" w:rsidR="005F019E" w:rsidRPr="006C41C5" w:rsidRDefault="006C41C5" w:rsidP="006C41C5">
            <w:pPr>
              <w:jc w:val="center"/>
              <w:rPr>
                <w:sz w:val="20"/>
                <w:szCs w:val="20"/>
              </w:rPr>
            </w:pPr>
            <w:r>
              <w:rPr>
                <w:sz w:val="20"/>
                <w:szCs w:val="20"/>
              </w:rPr>
              <w:t>(do 3</w:t>
            </w:r>
            <w:r w:rsidR="0040043D">
              <w:rPr>
                <w:sz w:val="20"/>
                <w:szCs w:val="20"/>
              </w:rPr>
              <w:t>0</w:t>
            </w:r>
            <w:r>
              <w:rPr>
                <w:sz w:val="20"/>
                <w:szCs w:val="20"/>
              </w:rPr>
              <w:t>.04.2024 r.)</w:t>
            </w:r>
          </w:p>
          <w:p w14:paraId="42B811E5" w14:textId="77777777" w:rsidR="005F019E" w:rsidRDefault="005F019E" w:rsidP="005F019E">
            <w:pPr>
              <w:rPr>
                <w:rFonts w:ascii="Times New Roman" w:eastAsia="Times New Roman" w:hAnsi="Times New Roman" w:cs="Times New Roman"/>
                <w:sz w:val="20"/>
                <w:szCs w:val="20"/>
              </w:rPr>
            </w:pPr>
          </w:p>
          <w:p w14:paraId="21F0545A" w14:textId="77777777" w:rsidR="00935709" w:rsidRPr="00ED1A1F" w:rsidRDefault="00935709" w:rsidP="005F019E">
            <w:pPr>
              <w:rPr>
                <w:rFonts w:ascii="Times New Roman" w:eastAsia="Times New Roman" w:hAnsi="Times New Roman" w:cs="Times New Roman"/>
                <w:sz w:val="20"/>
                <w:szCs w:val="20"/>
              </w:rPr>
            </w:pPr>
          </w:p>
          <w:p w14:paraId="11270999" w14:textId="16C99673" w:rsidR="005D6810" w:rsidRPr="00ED1A1F" w:rsidRDefault="005D6810" w:rsidP="005D6810">
            <w:pPr>
              <w:jc w:val="center"/>
              <w:rPr>
                <w:rFonts w:ascii="Times New Roman" w:eastAsia="Times New Roman" w:hAnsi="Times New Roman" w:cs="Times New Roman"/>
                <w:sz w:val="20"/>
                <w:szCs w:val="20"/>
              </w:rPr>
            </w:pPr>
            <w:r w:rsidRPr="00ED1A1F">
              <w:rPr>
                <w:rFonts w:ascii="Times New Roman" w:eastAsia="Times New Roman" w:hAnsi="Times New Roman" w:cs="Times New Roman"/>
                <w:sz w:val="20"/>
                <w:szCs w:val="20"/>
              </w:rPr>
              <w:t>VI ETAP</w:t>
            </w:r>
          </w:p>
          <w:p w14:paraId="4312AD07" w14:textId="378DC036" w:rsidR="005D6810" w:rsidRPr="00ED1A1F" w:rsidRDefault="006C41C5" w:rsidP="002B456A">
            <w:pPr>
              <w:jc w:val="center"/>
              <w:rPr>
                <w:sz w:val="20"/>
                <w:szCs w:val="20"/>
              </w:rPr>
            </w:pPr>
            <w:r>
              <w:rPr>
                <w:sz w:val="20"/>
                <w:szCs w:val="20"/>
              </w:rPr>
              <w:t>(do 30.05.2024 r.)</w:t>
            </w:r>
          </w:p>
          <w:p w14:paraId="668BA86F" w14:textId="77777777" w:rsidR="005F019E" w:rsidRDefault="005F019E" w:rsidP="005F019E">
            <w:pPr>
              <w:rPr>
                <w:rFonts w:ascii="Times New Roman" w:eastAsia="Times New Roman" w:hAnsi="Times New Roman" w:cs="Times New Roman"/>
                <w:sz w:val="20"/>
                <w:szCs w:val="20"/>
              </w:rPr>
            </w:pPr>
          </w:p>
          <w:p w14:paraId="4A0856F4" w14:textId="77777777" w:rsidR="00935709" w:rsidRDefault="00935709" w:rsidP="005F019E">
            <w:pPr>
              <w:rPr>
                <w:rFonts w:ascii="Times New Roman" w:eastAsia="Times New Roman" w:hAnsi="Times New Roman" w:cs="Times New Roman"/>
                <w:sz w:val="20"/>
                <w:szCs w:val="20"/>
              </w:rPr>
            </w:pPr>
          </w:p>
          <w:p w14:paraId="1018C375" w14:textId="77777777" w:rsidR="00712AA9" w:rsidRPr="00ED1A1F" w:rsidRDefault="00712AA9" w:rsidP="005F019E">
            <w:pPr>
              <w:rPr>
                <w:rFonts w:ascii="Times New Roman" w:eastAsia="Times New Roman" w:hAnsi="Times New Roman" w:cs="Times New Roman"/>
                <w:sz w:val="20"/>
                <w:szCs w:val="20"/>
              </w:rPr>
            </w:pPr>
          </w:p>
          <w:p w14:paraId="2BB54DC8" w14:textId="11222900" w:rsidR="005D6810" w:rsidRPr="00ED1A1F" w:rsidRDefault="005D6810" w:rsidP="005F019E">
            <w:pPr>
              <w:jc w:val="center"/>
              <w:rPr>
                <w:rFonts w:ascii="Times New Roman" w:eastAsia="Times New Roman" w:hAnsi="Times New Roman" w:cs="Times New Roman"/>
                <w:sz w:val="20"/>
                <w:szCs w:val="20"/>
              </w:rPr>
            </w:pPr>
            <w:r w:rsidRPr="00ED1A1F">
              <w:rPr>
                <w:rFonts w:ascii="Times New Roman" w:eastAsia="Times New Roman" w:hAnsi="Times New Roman" w:cs="Times New Roman"/>
                <w:sz w:val="20"/>
                <w:szCs w:val="20"/>
              </w:rPr>
              <w:lastRenderedPageBreak/>
              <w:t>VII ETAP</w:t>
            </w:r>
          </w:p>
          <w:p w14:paraId="1E64CB5B" w14:textId="27743638" w:rsidR="005D6810" w:rsidRPr="006C41C5" w:rsidRDefault="006C41C5" w:rsidP="002B456A">
            <w:pPr>
              <w:jc w:val="center"/>
              <w:rPr>
                <w:sz w:val="20"/>
                <w:szCs w:val="20"/>
              </w:rPr>
            </w:pPr>
            <w:r>
              <w:rPr>
                <w:sz w:val="20"/>
                <w:szCs w:val="20"/>
              </w:rPr>
              <w:t>(do 30.</w:t>
            </w:r>
            <w:r w:rsidR="00935709">
              <w:rPr>
                <w:sz w:val="20"/>
                <w:szCs w:val="20"/>
              </w:rPr>
              <w:t>06</w:t>
            </w:r>
            <w:r>
              <w:rPr>
                <w:sz w:val="20"/>
                <w:szCs w:val="20"/>
              </w:rPr>
              <w:t>.2024 r.)</w:t>
            </w:r>
          </w:p>
        </w:tc>
        <w:tc>
          <w:tcPr>
            <w:tcW w:w="6838" w:type="dxa"/>
            <w:gridSpan w:val="2"/>
            <w:tcBorders>
              <w:top w:val="single" w:sz="4" w:space="0" w:color="000000"/>
              <w:left w:val="single" w:sz="4" w:space="0" w:color="000000"/>
              <w:bottom w:val="single" w:sz="4" w:space="0" w:color="000000"/>
              <w:right w:val="single" w:sz="4" w:space="0" w:color="000000"/>
            </w:tcBorders>
          </w:tcPr>
          <w:p w14:paraId="50A15CED" w14:textId="77777777" w:rsidR="00ED1A1F" w:rsidRDefault="00ED1A1F" w:rsidP="00BE12A5">
            <w:pPr>
              <w:rPr>
                <w:rFonts w:ascii="Times New Roman" w:hAnsi="Times New Roman" w:cs="Times New Roman"/>
                <w:sz w:val="20"/>
                <w:szCs w:val="20"/>
              </w:rPr>
            </w:pPr>
          </w:p>
          <w:p w14:paraId="3D47ACB2" w14:textId="77777777" w:rsidR="00ED1A1F" w:rsidRDefault="00ED1A1F" w:rsidP="00BE12A5">
            <w:pPr>
              <w:rPr>
                <w:rFonts w:ascii="Times New Roman" w:hAnsi="Times New Roman" w:cs="Times New Roman"/>
                <w:sz w:val="20"/>
                <w:szCs w:val="20"/>
              </w:rPr>
            </w:pPr>
          </w:p>
          <w:p w14:paraId="31C17F1D" w14:textId="77777777" w:rsidR="00ED1A1F" w:rsidRDefault="00ED1A1F" w:rsidP="00BE12A5">
            <w:pPr>
              <w:rPr>
                <w:rFonts w:ascii="Times New Roman" w:hAnsi="Times New Roman" w:cs="Times New Roman"/>
                <w:sz w:val="20"/>
                <w:szCs w:val="20"/>
              </w:rPr>
            </w:pPr>
          </w:p>
          <w:p w14:paraId="5425F3C7" w14:textId="77777777" w:rsidR="00935709" w:rsidRDefault="00BE12A5" w:rsidP="00BE12A5">
            <w:pPr>
              <w:rPr>
                <w:rFonts w:ascii="Times New Roman" w:hAnsi="Times New Roman" w:cs="Times New Roman"/>
                <w:sz w:val="20"/>
                <w:szCs w:val="20"/>
              </w:rPr>
            </w:pPr>
            <w:r w:rsidRPr="00ED1A1F">
              <w:rPr>
                <w:rFonts w:ascii="Times New Roman" w:hAnsi="Times New Roman" w:cs="Times New Roman"/>
                <w:sz w:val="20"/>
                <w:szCs w:val="20"/>
              </w:rPr>
              <w:t xml:space="preserve">25%  </w:t>
            </w:r>
          </w:p>
          <w:p w14:paraId="5AD3E805" w14:textId="6EC9F0C0" w:rsidR="00BE12A5" w:rsidRPr="00ED1A1F" w:rsidRDefault="00BE12A5" w:rsidP="00BE12A5">
            <w:pPr>
              <w:rPr>
                <w:rFonts w:ascii="Times New Roman" w:hAnsi="Times New Roman" w:cs="Times New Roman"/>
                <w:sz w:val="20"/>
                <w:szCs w:val="20"/>
              </w:rPr>
            </w:pPr>
            <w:r w:rsidRPr="00ED1A1F">
              <w:rPr>
                <w:rFonts w:ascii="Times New Roman" w:hAnsi="Times New Roman" w:cs="Times New Roman"/>
                <w:sz w:val="20"/>
                <w:szCs w:val="20"/>
              </w:rPr>
              <w:t xml:space="preserve">Zakup gruntu </w:t>
            </w:r>
            <w:r w:rsidR="00935709">
              <w:rPr>
                <w:rFonts w:ascii="Times New Roman" w:hAnsi="Times New Roman" w:cs="Times New Roman"/>
                <w:sz w:val="20"/>
                <w:szCs w:val="20"/>
              </w:rPr>
              <w:t xml:space="preserve">65 </w:t>
            </w:r>
            <w:r w:rsidRPr="00ED1A1F">
              <w:rPr>
                <w:rFonts w:ascii="Times New Roman" w:hAnsi="Times New Roman" w:cs="Times New Roman"/>
                <w:sz w:val="20"/>
                <w:szCs w:val="20"/>
              </w:rPr>
              <w:t>%,</w:t>
            </w:r>
          </w:p>
          <w:p w14:paraId="0E78E3C2" w14:textId="77777777" w:rsidR="00BE12A5" w:rsidRPr="00ED1A1F" w:rsidRDefault="00BE12A5" w:rsidP="00BE12A5">
            <w:pPr>
              <w:rPr>
                <w:rFonts w:ascii="Times New Roman" w:hAnsi="Times New Roman" w:cs="Times New Roman"/>
                <w:sz w:val="20"/>
                <w:szCs w:val="20"/>
              </w:rPr>
            </w:pPr>
            <w:r w:rsidRPr="00ED1A1F">
              <w:rPr>
                <w:rFonts w:ascii="Times New Roman" w:hAnsi="Times New Roman" w:cs="Times New Roman"/>
                <w:sz w:val="20"/>
                <w:szCs w:val="20"/>
              </w:rPr>
              <w:t>Prace projektowe,</w:t>
            </w:r>
          </w:p>
          <w:p w14:paraId="4EC63815" w14:textId="77777777" w:rsidR="00BE12A5" w:rsidRPr="00ED1A1F" w:rsidRDefault="00BE12A5" w:rsidP="00BE12A5">
            <w:pPr>
              <w:rPr>
                <w:rFonts w:ascii="Times New Roman" w:hAnsi="Times New Roman" w:cs="Times New Roman"/>
                <w:sz w:val="20"/>
                <w:szCs w:val="20"/>
              </w:rPr>
            </w:pPr>
            <w:r w:rsidRPr="00ED1A1F">
              <w:rPr>
                <w:rFonts w:ascii="Times New Roman" w:hAnsi="Times New Roman" w:cs="Times New Roman"/>
                <w:sz w:val="20"/>
                <w:szCs w:val="20"/>
              </w:rPr>
              <w:t>Pozwolenie na budowę,</w:t>
            </w:r>
          </w:p>
          <w:p w14:paraId="256256B8" w14:textId="77777777" w:rsidR="00BE12A5" w:rsidRPr="00ED1A1F" w:rsidRDefault="00BE12A5" w:rsidP="00BE12A5">
            <w:pPr>
              <w:rPr>
                <w:rFonts w:ascii="Times New Roman" w:hAnsi="Times New Roman" w:cs="Times New Roman"/>
                <w:sz w:val="20"/>
                <w:szCs w:val="20"/>
              </w:rPr>
            </w:pPr>
            <w:r w:rsidRPr="00ED1A1F">
              <w:rPr>
                <w:rFonts w:ascii="Times New Roman" w:hAnsi="Times New Roman" w:cs="Times New Roman"/>
                <w:sz w:val="20"/>
                <w:szCs w:val="20"/>
              </w:rPr>
              <w:t>Geodezyjne wytyczenie budynków,</w:t>
            </w:r>
          </w:p>
          <w:p w14:paraId="48A5A98F" w14:textId="77777777" w:rsidR="00BE12A5" w:rsidRPr="00ED1A1F" w:rsidRDefault="00BE12A5" w:rsidP="00BE12A5">
            <w:pPr>
              <w:rPr>
                <w:rFonts w:ascii="Times New Roman" w:hAnsi="Times New Roman" w:cs="Times New Roman"/>
                <w:sz w:val="20"/>
                <w:szCs w:val="20"/>
              </w:rPr>
            </w:pPr>
            <w:r w:rsidRPr="00ED1A1F">
              <w:rPr>
                <w:rFonts w:ascii="Times New Roman" w:hAnsi="Times New Roman" w:cs="Times New Roman"/>
                <w:sz w:val="20"/>
                <w:szCs w:val="20"/>
              </w:rPr>
              <w:t>Wytyczenie zdjęcia humusu,</w:t>
            </w:r>
          </w:p>
          <w:p w14:paraId="7AD2187D" w14:textId="77777777" w:rsidR="00BE12A5" w:rsidRPr="00ED1A1F" w:rsidRDefault="00BE12A5" w:rsidP="00EC6EC6">
            <w:pPr>
              <w:rPr>
                <w:rFonts w:ascii="Times New Roman" w:hAnsi="Times New Roman" w:cs="Times New Roman"/>
                <w:sz w:val="20"/>
                <w:szCs w:val="20"/>
              </w:rPr>
            </w:pPr>
            <w:r w:rsidRPr="00ED1A1F">
              <w:rPr>
                <w:rFonts w:ascii="Times New Roman" w:hAnsi="Times New Roman" w:cs="Times New Roman"/>
                <w:sz w:val="20"/>
                <w:szCs w:val="20"/>
              </w:rPr>
              <w:t>Wykonanie ogrodzenia placu budowy.</w:t>
            </w:r>
          </w:p>
          <w:p w14:paraId="1F42328A" w14:textId="77777777" w:rsidR="00BE12A5" w:rsidRPr="00ED1A1F" w:rsidRDefault="00BE12A5" w:rsidP="00EC6EC6">
            <w:pPr>
              <w:rPr>
                <w:rFonts w:ascii="Times New Roman" w:hAnsi="Times New Roman" w:cs="Times New Roman"/>
                <w:sz w:val="20"/>
                <w:szCs w:val="20"/>
              </w:rPr>
            </w:pPr>
          </w:p>
          <w:p w14:paraId="7827819A" w14:textId="77777777" w:rsidR="00935709" w:rsidRDefault="003A42C0" w:rsidP="00EC6EC6">
            <w:pPr>
              <w:rPr>
                <w:rFonts w:ascii="Times New Roman" w:hAnsi="Times New Roman" w:cs="Times New Roman"/>
                <w:sz w:val="20"/>
                <w:szCs w:val="20"/>
              </w:rPr>
            </w:pPr>
            <w:r w:rsidRPr="00ED1A1F">
              <w:rPr>
                <w:rFonts w:ascii="Times New Roman" w:hAnsi="Times New Roman" w:cs="Times New Roman"/>
                <w:sz w:val="20"/>
                <w:szCs w:val="20"/>
              </w:rPr>
              <w:t>20</w:t>
            </w:r>
            <w:r w:rsidR="00BE12A5" w:rsidRPr="00ED1A1F">
              <w:rPr>
                <w:rFonts w:ascii="Times New Roman" w:hAnsi="Times New Roman" w:cs="Times New Roman"/>
                <w:sz w:val="20"/>
                <w:szCs w:val="20"/>
              </w:rPr>
              <w:t xml:space="preserve">% </w:t>
            </w:r>
          </w:p>
          <w:p w14:paraId="12950E7C" w14:textId="390328B1" w:rsidR="00935709" w:rsidRDefault="00935709" w:rsidP="00EC6EC6">
            <w:pPr>
              <w:rPr>
                <w:rFonts w:ascii="Times New Roman" w:hAnsi="Times New Roman" w:cs="Times New Roman"/>
                <w:sz w:val="20"/>
                <w:szCs w:val="20"/>
              </w:rPr>
            </w:pPr>
            <w:r>
              <w:rPr>
                <w:rFonts w:ascii="Times New Roman" w:hAnsi="Times New Roman" w:cs="Times New Roman"/>
                <w:sz w:val="20"/>
                <w:szCs w:val="20"/>
              </w:rPr>
              <w:t>Zakup gruntu 35 %</w:t>
            </w:r>
          </w:p>
          <w:p w14:paraId="0BB2D9B7" w14:textId="1EA3F259" w:rsidR="00BE12A5" w:rsidRPr="00ED1A1F" w:rsidRDefault="00BE12A5" w:rsidP="00EC6EC6">
            <w:pPr>
              <w:rPr>
                <w:rFonts w:ascii="Times New Roman" w:hAnsi="Times New Roman" w:cs="Times New Roman"/>
                <w:sz w:val="20"/>
                <w:szCs w:val="20"/>
              </w:rPr>
            </w:pPr>
            <w:r w:rsidRPr="00ED1A1F">
              <w:rPr>
                <w:rFonts w:ascii="Times New Roman" w:hAnsi="Times New Roman" w:cs="Times New Roman"/>
                <w:sz w:val="20"/>
                <w:szCs w:val="20"/>
              </w:rPr>
              <w:t>Wykonanie zaplecza budowy,</w:t>
            </w:r>
          </w:p>
          <w:p w14:paraId="5470F180" w14:textId="77777777" w:rsidR="00BE12A5" w:rsidRPr="00ED1A1F" w:rsidRDefault="00BE12A5" w:rsidP="00EC6EC6">
            <w:pPr>
              <w:rPr>
                <w:rFonts w:ascii="Times New Roman" w:hAnsi="Times New Roman" w:cs="Times New Roman"/>
                <w:sz w:val="20"/>
                <w:szCs w:val="20"/>
              </w:rPr>
            </w:pPr>
            <w:r w:rsidRPr="00ED1A1F">
              <w:rPr>
                <w:rFonts w:ascii="Times New Roman" w:hAnsi="Times New Roman" w:cs="Times New Roman"/>
                <w:sz w:val="20"/>
                <w:szCs w:val="20"/>
              </w:rPr>
              <w:t>Wykonanie wykopu bez zasypek,</w:t>
            </w:r>
          </w:p>
          <w:p w14:paraId="49A7D46E" w14:textId="77777777" w:rsidR="00BE12A5" w:rsidRPr="00ED1A1F" w:rsidRDefault="00BE12A5" w:rsidP="00EC6EC6">
            <w:pPr>
              <w:rPr>
                <w:rFonts w:ascii="Times New Roman" w:hAnsi="Times New Roman" w:cs="Times New Roman"/>
                <w:sz w:val="20"/>
                <w:szCs w:val="20"/>
              </w:rPr>
            </w:pPr>
            <w:r w:rsidRPr="00ED1A1F">
              <w:rPr>
                <w:rFonts w:ascii="Times New Roman" w:hAnsi="Times New Roman" w:cs="Times New Roman"/>
                <w:sz w:val="20"/>
                <w:szCs w:val="20"/>
              </w:rPr>
              <w:t>Wykonanie fundamentów pod budynek,</w:t>
            </w:r>
          </w:p>
          <w:p w14:paraId="4C9685CA" w14:textId="77777777" w:rsidR="00BE12A5" w:rsidRPr="00ED1A1F" w:rsidRDefault="00BE12A5" w:rsidP="00EC6EC6">
            <w:pPr>
              <w:rPr>
                <w:rFonts w:ascii="Times New Roman" w:hAnsi="Times New Roman" w:cs="Times New Roman"/>
                <w:sz w:val="20"/>
                <w:szCs w:val="20"/>
              </w:rPr>
            </w:pPr>
            <w:r w:rsidRPr="00ED1A1F">
              <w:rPr>
                <w:rFonts w:ascii="Times New Roman" w:hAnsi="Times New Roman" w:cs="Times New Roman"/>
                <w:sz w:val="20"/>
                <w:szCs w:val="20"/>
              </w:rPr>
              <w:t>Zakończenie stanu zero.</w:t>
            </w:r>
          </w:p>
          <w:p w14:paraId="0E5C17B8" w14:textId="77777777" w:rsidR="00BE12A5" w:rsidRPr="00ED1A1F" w:rsidRDefault="00BE12A5" w:rsidP="00EC6EC6">
            <w:pPr>
              <w:rPr>
                <w:rFonts w:ascii="Times New Roman" w:hAnsi="Times New Roman" w:cs="Times New Roman"/>
                <w:sz w:val="20"/>
                <w:szCs w:val="20"/>
              </w:rPr>
            </w:pPr>
          </w:p>
          <w:p w14:paraId="05B936ED" w14:textId="77777777" w:rsidR="00935709" w:rsidRDefault="00BE12A5" w:rsidP="00EC6EC6">
            <w:pPr>
              <w:rPr>
                <w:rFonts w:ascii="Times New Roman" w:hAnsi="Times New Roman" w:cs="Times New Roman"/>
                <w:sz w:val="20"/>
                <w:szCs w:val="20"/>
              </w:rPr>
            </w:pPr>
            <w:r w:rsidRPr="00ED1A1F">
              <w:rPr>
                <w:rFonts w:ascii="Times New Roman" w:hAnsi="Times New Roman" w:cs="Times New Roman"/>
                <w:sz w:val="20"/>
                <w:szCs w:val="20"/>
              </w:rPr>
              <w:t>1</w:t>
            </w:r>
            <w:r w:rsidR="003A42C0" w:rsidRPr="00ED1A1F">
              <w:rPr>
                <w:rFonts w:ascii="Times New Roman" w:hAnsi="Times New Roman" w:cs="Times New Roman"/>
                <w:sz w:val="20"/>
                <w:szCs w:val="20"/>
              </w:rPr>
              <w:t>0</w:t>
            </w:r>
            <w:r w:rsidRPr="00ED1A1F">
              <w:rPr>
                <w:rFonts w:ascii="Times New Roman" w:hAnsi="Times New Roman" w:cs="Times New Roman"/>
                <w:sz w:val="20"/>
                <w:szCs w:val="20"/>
              </w:rPr>
              <w:t xml:space="preserve">% </w:t>
            </w:r>
          </w:p>
          <w:p w14:paraId="5FB25519" w14:textId="46BE185B" w:rsidR="00BE12A5" w:rsidRPr="00ED1A1F" w:rsidRDefault="00BE12A5" w:rsidP="00EC6EC6">
            <w:pPr>
              <w:rPr>
                <w:rFonts w:ascii="Times New Roman" w:hAnsi="Times New Roman" w:cs="Times New Roman"/>
                <w:sz w:val="20"/>
                <w:szCs w:val="20"/>
              </w:rPr>
            </w:pPr>
            <w:r w:rsidRPr="00ED1A1F">
              <w:rPr>
                <w:rFonts w:ascii="Times New Roman" w:hAnsi="Times New Roman" w:cs="Times New Roman"/>
                <w:sz w:val="20"/>
                <w:szCs w:val="20"/>
              </w:rPr>
              <w:t>Zakończenie konstrukcji przyziemia,</w:t>
            </w:r>
          </w:p>
          <w:p w14:paraId="3BD7ABC7" w14:textId="34D90039" w:rsidR="00BE12A5" w:rsidRPr="00ED1A1F" w:rsidRDefault="00BE12A5" w:rsidP="00EC6EC6">
            <w:pPr>
              <w:rPr>
                <w:rFonts w:ascii="Times New Roman" w:hAnsi="Times New Roman" w:cs="Times New Roman"/>
                <w:sz w:val="20"/>
                <w:szCs w:val="20"/>
              </w:rPr>
            </w:pPr>
            <w:r w:rsidRPr="00ED1A1F">
              <w:rPr>
                <w:rFonts w:ascii="Times New Roman" w:hAnsi="Times New Roman" w:cs="Times New Roman"/>
                <w:sz w:val="20"/>
                <w:szCs w:val="20"/>
              </w:rPr>
              <w:t>Wykonanie konstrukcji kondygnacji (parter) bez ścian działowych,</w:t>
            </w:r>
          </w:p>
          <w:p w14:paraId="09586839" w14:textId="1FA314CC" w:rsidR="00712AA9" w:rsidRPr="00ED1A1F" w:rsidRDefault="00BE12A5" w:rsidP="00EC6EC6">
            <w:pPr>
              <w:rPr>
                <w:rFonts w:ascii="Times New Roman" w:hAnsi="Times New Roman" w:cs="Times New Roman"/>
                <w:sz w:val="20"/>
                <w:szCs w:val="20"/>
              </w:rPr>
            </w:pPr>
            <w:r w:rsidRPr="00ED1A1F">
              <w:rPr>
                <w:rFonts w:ascii="Times New Roman" w:hAnsi="Times New Roman" w:cs="Times New Roman"/>
                <w:sz w:val="20"/>
                <w:szCs w:val="20"/>
              </w:rPr>
              <w:t>Wykonanie stropu nad parterem.</w:t>
            </w:r>
          </w:p>
          <w:p w14:paraId="00A4DCF6" w14:textId="77777777" w:rsidR="00BE12A5" w:rsidRPr="00ED1A1F" w:rsidRDefault="00BE12A5" w:rsidP="00EC6EC6">
            <w:pPr>
              <w:rPr>
                <w:rFonts w:ascii="Times New Roman" w:hAnsi="Times New Roman" w:cs="Times New Roman"/>
                <w:sz w:val="20"/>
                <w:szCs w:val="20"/>
              </w:rPr>
            </w:pPr>
          </w:p>
          <w:p w14:paraId="5EBD6991" w14:textId="2387BF70" w:rsidR="00935709" w:rsidRDefault="00BE12A5" w:rsidP="00EC6EC6">
            <w:pPr>
              <w:rPr>
                <w:rFonts w:ascii="Times New Roman" w:hAnsi="Times New Roman" w:cs="Times New Roman"/>
                <w:sz w:val="20"/>
                <w:szCs w:val="20"/>
              </w:rPr>
            </w:pPr>
            <w:r w:rsidRPr="00ED1A1F">
              <w:rPr>
                <w:rFonts w:ascii="Times New Roman" w:hAnsi="Times New Roman" w:cs="Times New Roman"/>
                <w:sz w:val="20"/>
                <w:szCs w:val="20"/>
              </w:rPr>
              <w:t xml:space="preserve">10% </w:t>
            </w:r>
          </w:p>
          <w:p w14:paraId="5CFADB04" w14:textId="27540E82" w:rsidR="00BE12A5" w:rsidRPr="00ED1A1F" w:rsidRDefault="00BE12A5" w:rsidP="00EC6EC6">
            <w:pPr>
              <w:rPr>
                <w:rFonts w:ascii="Times New Roman" w:hAnsi="Times New Roman" w:cs="Times New Roman"/>
                <w:sz w:val="20"/>
                <w:szCs w:val="20"/>
              </w:rPr>
            </w:pPr>
            <w:r w:rsidRPr="00ED1A1F">
              <w:rPr>
                <w:rFonts w:ascii="Times New Roman" w:hAnsi="Times New Roman" w:cs="Times New Roman"/>
                <w:sz w:val="20"/>
                <w:szCs w:val="20"/>
              </w:rPr>
              <w:t xml:space="preserve">Wykonanie konstrukcji </w:t>
            </w:r>
            <w:r w:rsidR="005D6810" w:rsidRPr="00ED1A1F">
              <w:rPr>
                <w:rFonts w:ascii="Times New Roman" w:hAnsi="Times New Roman" w:cs="Times New Roman"/>
                <w:sz w:val="20"/>
                <w:szCs w:val="20"/>
              </w:rPr>
              <w:t>kondygnacji piętra bez ścian działowych,</w:t>
            </w:r>
          </w:p>
          <w:p w14:paraId="4379CC28" w14:textId="1B245F4B" w:rsidR="005D6810" w:rsidRPr="00ED1A1F"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Wykonanie stropu nad piętrem.</w:t>
            </w:r>
          </w:p>
          <w:p w14:paraId="0C6B6387" w14:textId="77777777" w:rsidR="005D6810" w:rsidRPr="00ED1A1F" w:rsidRDefault="005D6810" w:rsidP="00EC6EC6">
            <w:pPr>
              <w:rPr>
                <w:rFonts w:ascii="Times New Roman" w:hAnsi="Times New Roman" w:cs="Times New Roman"/>
                <w:sz w:val="20"/>
                <w:szCs w:val="20"/>
              </w:rPr>
            </w:pPr>
          </w:p>
          <w:p w14:paraId="511D91D6" w14:textId="77777777" w:rsidR="00935709"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 xml:space="preserve">10% </w:t>
            </w:r>
          </w:p>
          <w:p w14:paraId="3F31CCB9" w14:textId="3974CE5D" w:rsidR="005D6810" w:rsidRPr="00ED1A1F"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Wykonanie instalacji elektrycznej,</w:t>
            </w:r>
          </w:p>
          <w:p w14:paraId="664D2F5C" w14:textId="529EF103" w:rsidR="005D6810" w:rsidRPr="00ED1A1F"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Wykonanie instalacji hydraulicznej bez CO,</w:t>
            </w:r>
          </w:p>
          <w:p w14:paraId="6DC613FA" w14:textId="5BFA8CE7" w:rsidR="005D6810" w:rsidRPr="00ED1A1F"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Montaż okien.</w:t>
            </w:r>
          </w:p>
          <w:p w14:paraId="30BDB641" w14:textId="77777777" w:rsidR="005D6810" w:rsidRDefault="005D6810" w:rsidP="00EC6EC6">
            <w:pPr>
              <w:rPr>
                <w:rFonts w:ascii="Times New Roman" w:hAnsi="Times New Roman" w:cs="Times New Roman"/>
              </w:rPr>
            </w:pPr>
          </w:p>
          <w:p w14:paraId="05048835" w14:textId="77777777" w:rsidR="00935709"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 xml:space="preserve">15% </w:t>
            </w:r>
          </w:p>
          <w:p w14:paraId="6B5C9151" w14:textId="550391FD" w:rsidR="005D6810" w:rsidRPr="00ED1A1F"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Wykonanie dachu,</w:t>
            </w:r>
          </w:p>
          <w:p w14:paraId="3C14CA1B" w14:textId="6512381B" w:rsidR="005D6810"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Ocieplenie budynku (bez elewacji),</w:t>
            </w:r>
          </w:p>
          <w:p w14:paraId="40E64B67" w14:textId="575A5C00" w:rsidR="00935709" w:rsidRPr="00ED1A1F" w:rsidRDefault="00935709" w:rsidP="00EC6EC6">
            <w:pPr>
              <w:rPr>
                <w:rFonts w:ascii="Times New Roman" w:hAnsi="Times New Roman" w:cs="Times New Roman"/>
                <w:sz w:val="20"/>
                <w:szCs w:val="20"/>
              </w:rPr>
            </w:pPr>
            <w:r>
              <w:rPr>
                <w:rFonts w:ascii="Times New Roman" w:hAnsi="Times New Roman" w:cs="Times New Roman"/>
                <w:sz w:val="20"/>
                <w:szCs w:val="20"/>
              </w:rPr>
              <w:t>Drzwi wejściowe</w:t>
            </w:r>
          </w:p>
          <w:p w14:paraId="0A4B8B34" w14:textId="4E5945B4" w:rsidR="005D6810" w:rsidRPr="00ED1A1F"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Montaż szamb.</w:t>
            </w:r>
          </w:p>
          <w:p w14:paraId="1496E622" w14:textId="77777777" w:rsidR="00935709" w:rsidRDefault="005D6810" w:rsidP="00EC6EC6">
            <w:pPr>
              <w:rPr>
                <w:rFonts w:ascii="Times New Roman" w:hAnsi="Times New Roman" w:cs="Times New Roman"/>
                <w:sz w:val="20"/>
                <w:szCs w:val="20"/>
              </w:rPr>
            </w:pPr>
            <w:r w:rsidRPr="00ED1A1F">
              <w:rPr>
                <w:rFonts w:ascii="Times New Roman" w:hAnsi="Times New Roman" w:cs="Times New Roman"/>
                <w:sz w:val="20"/>
                <w:szCs w:val="20"/>
              </w:rPr>
              <w:lastRenderedPageBreak/>
              <w:t xml:space="preserve">10% </w:t>
            </w:r>
          </w:p>
          <w:p w14:paraId="27303492" w14:textId="1E17DD70" w:rsidR="005D6810" w:rsidRPr="00ED1A1F"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Wykonanie elewacji zewnętrznej z obróbkami blacharskimi,</w:t>
            </w:r>
          </w:p>
          <w:p w14:paraId="1A3CE82D" w14:textId="0CED473E" w:rsidR="005D6810" w:rsidRPr="00ED1A1F"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Wykonanie tynków wewnętrznych,</w:t>
            </w:r>
          </w:p>
          <w:p w14:paraId="01AC9FBB" w14:textId="69964C00" w:rsidR="005D6810" w:rsidRPr="00ED1A1F"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Wykonanie wylewki,</w:t>
            </w:r>
          </w:p>
          <w:p w14:paraId="6B1F88C3" w14:textId="66ACF1E9" w:rsidR="005D6810" w:rsidRPr="00ED1A1F"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Drzwi wejściowe,</w:t>
            </w:r>
          </w:p>
          <w:p w14:paraId="5A303270" w14:textId="3BC68571" w:rsidR="005D6810" w:rsidRPr="00ED1A1F" w:rsidRDefault="005D6810" w:rsidP="00EC6EC6">
            <w:pPr>
              <w:rPr>
                <w:rFonts w:ascii="Times New Roman" w:hAnsi="Times New Roman" w:cs="Times New Roman"/>
                <w:sz w:val="20"/>
                <w:szCs w:val="20"/>
              </w:rPr>
            </w:pPr>
            <w:r w:rsidRPr="00ED1A1F">
              <w:rPr>
                <w:rFonts w:ascii="Times New Roman" w:hAnsi="Times New Roman" w:cs="Times New Roman"/>
                <w:sz w:val="20"/>
                <w:szCs w:val="20"/>
              </w:rPr>
              <w:t>Zakończenie budowy wpis do dziennika,</w:t>
            </w:r>
          </w:p>
          <w:p w14:paraId="1D726127" w14:textId="49FA11CC" w:rsidR="00BE12A5" w:rsidRPr="00EC6EC6" w:rsidRDefault="005D6810" w:rsidP="00EC6EC6">
            <w:pPr>
              <w:rPr>
                <w:rFonts w:ascii="Times New Roman" w:hAnsi="Times New Roman" w:cs="Times New Roman"/>
              </w:rPr>
            </w:pPr>
            <w:r w:rsidRPr="00ED1A1F">
              <w:rPr>
                <w:rFonts w:ascii="Times New Roman" w:hAnsi="Times New Roman" w:cs="Times New Roman"/>
                <w:sz w:val="20"/>
                <w:szCs w:val="20"/>
              </w:rPr>
              <w:t>Zaświadczenie o braku sprze</w:t>
            </w:r>
            <w:r w:rsidR="005F019E" w:rsidRPr="00ED1A1F">
              <w:rPr>
                <w:rFonts w:ascii="Times New Roman" w:hAnsi="Times New Roman" w:cs="Times New Roman"/>
                <w:sz w:val="20"/>
                <w:szCs w:val="20"/>
              </w:rPr>
              <w:t>ciwu do zawiadomienia o zakończeniu budowy z PNIB.</w:t>
            </w:r>
          </w:p>
        </w:tc>
      </w:tr>
      <w:tr w:rsidR="00AF4F76" w14:paraId="6EB3F70C" w14:textId="77777777" w:rsidTr="00BE12A5">
        <w:trPr>
          <w:trHeight w:val="987"/>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3C791B" w14:textId="77777777" w:rsidR="00AF4F76" w:rsidRDefault="00AF4F76">
            <w:pPr>
              <w:ind w:right="114"/>
            </w:pPr>
            <w:r>
              <w:rPr>
                <w:rFonts w:ascii="Times New Roman" w:eastAsia="Times New Roman" w:hAnsi="Times New Roman" w:cs="Times New Roman"/>
                <w:sz w:val="20"/>
              </w:rPr>
              <w:lastRenderedPageBreak/>
              <w:t xml:space="preserve">Dopuszczenie waloryzacji ceny oraz określenie zasad waloryzacji </w:t>
            </w:r>
          </w:p>
        </w:tc>
        <w:tc>
          <w:tcPr>
            <w:tcW w:w="6838" w:type="dxa"/>
            <w:gridSpan w:val="2"/>
            <w:tcBorders>
              <w:top w:val="single" w:sz="4" w:space="0" w:color="000000"/>
              <w:left w:val="single" w:sz="4" w:space="0" w:color="000000"/>
              <w:bottom w:val="single" w:sz="4" w:space="0" w:color="000000"/>
              <w:right w:val="single" w:sz="4" w:space="0" w:color="000000"/>
            </w:tcBorders>
          </w:tcPr>
          <w:p w14:paraId="03264865" w14:textId="09276962" w:rsidR="00AF4F76" w:rsidRPr="00ED1A1F" w:rsidRDefault="001829ED" w:rsidP="001829ED">
            <w:pPr>
              <w:rPr>
                <w:rFonts w:ascii="Times New Roman" w:hAnsi="Times New Roman" w:cs="Times New Roman"/>
                <w:sz w:val="20"/>
                <w:szCs w:val="20"/>
              </w:rPr>
            </w:pPr>
            <w:r w:rsidRPr="00ED1A1F">
              <w:rPr>
                <w:rFonts w:ascii="Times New Roman" w:hAnsi="Times New Roman" w:cs="Times New Roman"/>
                <w:sz w:val="20"/>
                <w:szCs w:val="20"/>
              </w:rPr>
              <w:t xml:space="preserve">Cena nie będzie podlegać waloryzacji, z tym, że w przypadku, gdy stawka podatku od towarów i usług ulegnie zmianie, wskazana w ustępie 1 niniejszego paragrafu kwota brutto obejmująca podatek od towarów i usług, określona zostanie według stawki tego podatku, zgodnie z obowiązującymi </w:t>
            </w:r>
            <w:r w:rsidR="00945A7E" w:rsidRPr="00ED1A1F">
              <w:rPr>
                <w:rFonts w:ascii="Times New Roman" w:hAnsi="Times New Roman" w:cs="Times New Roman"/>
                <w:sz w:val="20"/>
                <w:szCs w:val="20"/>
              </w:rPr>
              <w:t>przepisami prawa.</w:t>
            </w:r>
          </w:p>
        </w:tc>
      </w:tr>
    </w:tbl>
    <w:p w14:paraId="09197596" w14:textId="77777777" w:rsidR="004A009C" w:rsidRDefault="00B365B2">
      <w:pPr>
        <w:spacing w:after="0"/>
      </w:pPr>
      <w:r>
        <w:rPr>
          <w:rFonts w:ascii="Times New Roman" w:eastAsia="Times New Roman" w:hAnsi="Times New Roman" w:cs="Times New Roman"/>
          <w:strike/>
          <w:sz w:val="20"/>
        </w:rPr>
        <w:t xml:space="preserve">                                                         </w:t>
      </w:r>
      <w:r>
        <w:rPr>
          <w:rFonts w:ascii="Times New Roman" w:eastAsia="Times New Roman" w:hAnsi="Times New Roman" w:cs="Times New Roman"/>
          <w:sz w:val="20"/>
        </w:rPr>
        <w:t xml:space="preserve"> </w:t>
      </w:r>
    </w:p>
    <w:p w14:paraId="30C0A707" w14:textId="77777777" w:rsidR="004A009C" w:rsidRDefault="00B365B2">
      <w:pPr>
        <w:spacing w:after="4" w:line="263" w:lineRule="auto"/>
        <w:ind w:left="266" w:hanging="281"/>
        <w:jc w:val="both"/>
      </w:pPr>
      <w:r>
        <w:rPr>
          <w:rFonts w:ascii="Times New Roman" w:eastAsia="Times New Roman" w:hAnsi="Times New Roman" w:cs="Times New Roman"/>
          <w:sz w:val="18"/>
          <w:vertAlign w:val="superscript"/>
        </w:rPr>
        <w:t>7)</w:t>
      </w:r>
      <w:r>
        <w:rPr>
          <w:rFonts w:ascii="Times New Roman" w:eastAsia="Times New Roman" w:hAnsi="Times New Roman" w:cs="Times New Roman"/>
          <w:sz w:val="18"/>
        </w:rPr>
        <w:t xml:space="preserve"> Zgodnie z art. 49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ust. 8 ustawy z dnia 20 maja 2021 r.</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o ochronie praw nabywcy lokalu mieszkalnego lub domu jednorodzinnego oraz Deweloperskim Funduszu Gwarancyjnym. </w:t>
      </w:r>
    </w:p>
    <w:p w14:paraId="69D47F79" w14:textId="77777777" w:rsidR="004A009C" w:rsidRDefault="00B365B2">
      <w:pPr>
        <w:spacing w:after="33"/>
      </w:pPr>
      <w:r>
        <w:rPr>
          <w:rFonts w:ascii="Times New Roman" w:eastAsia="Times New Roman" w:hAnsi="Times New Roman" w:cs="Times New Roman"/>
          <w:sz w:val="18"/>
        </w:rPr>
        <w:t xml:space="preserve"> </w:t>
      </w:r>
    </w:p>
    <w:p w14:paraId="182B2D2F" w14:textId="77777777" w:rsidR="004A009C" w:rsidRDefault="00B365B2">
      <w:pPr>
        <w:spacing w:after="4" w:line="263" w:lineRule="auto"/>
        <w:ind w:left="-5" w:hanging="10"/>
        <w:jc w:val="both"/>
      </w:pPr>
      <w:r>
        <w:rPr>
          <w:rFonts w:ascii="Times New Roman" w:eastAsia="Times New Roman" w:hAnsi="Times New Roman" w:cs="Times New Roman"/>
          <w:sz w:val="18"/>
          <w:vertAlign w:val="superscript"/>
        </w:rPr>
        <w:t>*</w:t>
      </w:r>
      <w:r>
        <w:rPr>
          <w:rFonts w:ascii="Times New Roman" w:eastAsia="Times New Roman" w:hAnsi="Times New Roman" w:cs="Times New Roman"/>
          <w:sz w:val="18"/>
        </w:rPr>
        <w:t xml:space="preserve"> Niepotrzebne skreślić. </w:t>
      </w:r>
    </w:p>
    <w:p w14:paraId="4B7130F3" w14:textId="77777777" w:rsidR="004A009C" w:rsidRDefault="004A009C">
      <w:pPr>
        <w:spacing w:after="0"/>
        <w:ind w:left="-1020" w:right="110"/>
      </w:pPr>
    </w:p>
    <w:tbl>
      <w:tblPr>
        <w:tblStyle w:val="TableGrid"/>
        <w:tblW w:w="9747" w:type="dxa"/>
        <w:tblInd w:w="109" w:type="dxa"/>
        <w:tblCellMar>
          <w:top w:w="188" w:type="dxa"/>
          <w:left w:w="107" w:type="dxa"/>
          <w:bottom w:w="7" w:type="dxa"/>
          <w:right w:w="57" w:type="dxa"/>
        </w:tblCellMar>
        <w:tblLook w:val="04A0" w:firstRow="1" w:lastRow="0" w:firstColumn="1" w:lastColumn="0" w:noHBand="0" w:noVBand="1"/>
      </w:tblPr>
      <w:tblGrid>
        <w:gridCol w:w="3269"/>
        <w:gridCol w:w="6478"/>
      </w:tblGrid>
      <w:tr w:rsidR="004A009C" w14:paraId="6F3F75E6" w14:textId="77777777" w:rsidTr="0013095B">
        <w:trPr>
          <w:trHeight w:val="1449"/>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506FC20D" w14:textId="77777777" w:rsidR="004A009C" w:rsidRDefault="00B365B2">
            <w:pPr>
              <w:jc w:val="both"/>
            </w:pPr>
            <w:r>
              <w:rPr>
                <w:rFonts w:ascii="Times New Roman" w:eastAsia="Times New Roman" w:hAnsi="Times New Roman" w:cs="Times New Roman"/>
                <w:b/>
                <w:sz w:val="20"/>
              </w:rPr>
              <w:t xml:space="preserve">WARUNKI ODSTĄPIENIA OD UMOWY DEWELOPERSKIEJ LUB UMOWY, O KTÓREJ MOWA W ART. 2 UST. 1 PKT 2, 3 LUB 5 USTAWY Z DNIA 20 MAJA 2021 R. O OCHRONIE PRAW NABYWCY </w:t>
            </w:r>
          </w:p>
          <w:p w14:paraId="6A745C83" w14:textId="77777777" w:rsidR="004A009C" w:rsidRDefault="00B365B2">
            <w:pPr>
              <w:spacing w:after="144"/>
            </w:pPr>
            <w:r>
              <w:rPr>
                <w:rFonts w:ascii="Times New Roman" w:eastAsia="Times New Roman" w:hAnsi="Times New Roman" w:cs="Times New Roman"/>
                <w:b/>
                <w:sz w:val="20"/>
              </w:rPr>
              <w:t xml:space="preserve">LOKALU MIESZKALNEGO LUB DOMU JEDNORODZINNEGO ORAZ DEWELOPERSKIM FUNDUSZU GWARANCYJNYM </w:t>
            </w:r>
          </w:p>
          <w:p w14:paraId="0D0E0E18" w14:textId="77777777" w:rsidR="004A009C" w:rsidRDefault="00B365B2">
            <w:r>
              <w:rPr>
                <w:rFonts w:ascii="Times New Roman" w:eastAsia="Times New Roman" w:hAnsi="Times New Roman" w:cs="Times New Roman"/>
                <w:b/>
                <w:sz w:val="20"/>
              </w:rPr>
              <w:t xml:space="preserve"> </w:t>
            </w:r>
          </w:p>
        </w:tc>
      </w:tr>
      <w:tr w:rsidR="004A009C" w14:paraId="29C422C9" w14:textId="77777777" w:rsidTr="0013095B">
        <w:trPr>
          <w:trHeight w:val="2597"/>
        </w:trPr>
        <w:tc>
          <w:tcPr>
            <w:tcW w:w="32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9AE7D2" w14:textId="34F0F97F" w:rsidR="004A009C" w:rsidRDefault="00B365B2">
            <w:pPr>
              <w:spacing w:line="239" w:lineRule="auto"/>
              <w:ind w:right="101"/>
            </w:pPr>
            <w:r>
              <w:rPr>
                <w:rFonts w:ascii="Times New Roman" w:eastAsia="Times New Roman" w:hAnsi="Times New Roman" w:cs="Times New Roman"/>
                <w:sz w:val="20"/>
              </w:rPr>
              <w:t xml:space="preserve">Warunki, na jakich można odstąpić od umowy deweloperskiej lub jednej z umów, o których mowa w art. 2 ust. 1 pkt 2, 3 lub 5 ustawy z dnia 20 maja 2021 r. o ochronie praw nabywcy lokalu mieszkalnego lub domu jednorodzinnego oraz </w:t>
            </w:r>
          </w:p>
          <w:p w14:paraId="01BC5975" w14:textId="77777777" w:rsidR="004A009C" w:rsidRDefault="00B365B2">
            <w:r>
              <w:rPr>
                <w:rFonts w:ascii="Times New Roman" w:eastAsia="Times New Roman" w:hAnsi="Times New Roman" w:cs="Times New Roman"/>
                <w:sz w:val="20"/>
              </w:rPr>
              <w:t xml:space="preserve">Deweloperskim Funduszu </w:t>
            </w:r>
          </w:p>
          <w:p w14:paraId="31C07BDA" w14:textId="77777777" w:rsidR="004A009C" w:rsidRDefault="00B365B2">
            <w:r>
              <w:rPr>
                <w:rFonts w:ascii="Times New Roman" w:eastAsia="Times New Roman" w:hAnsi="Times New Roman" w:cs="Times New Roman"/>
                <w:sz w:val="20"/>
              </w:rPr>
              <w:t xml:space="preserve">Gwarancyjnym </w:t>
            </w:r>
          </w:p>
        </w:tc>
        <w:tc>
          <w:tcPr>
            <w:tcW w:w="6478" w:type="dxa"/>
            <w:tcBorders>
              <w:top w:val="single" w:sz="4" w:space="0" w:color="000000"/>
              <w:left w:val="single" w:sz="4" w:space="0" w:color="000000"/>
              <w:bottom w:val="single" w:sz="4" w:space="0" w:color="000000"/>
              <w:right w:val="single" w:sz="4" w:space="0" w:color="000000"/>
            </w:tcBorders>
          </w:tcPr>
          <w:p w14:paraId="07C3D67C" w14:textId="77777777" w:rsidR="00D85171" w:rsidRDefault="00D85171" w:rsidP="00D85171">
            <w:pPr>
              <w:contextualSpacing/>
              <w:jc w:val="both"/>
              <w:rPr>
                <w:rFonts w:ascii="Times New Roman" w:eastAsiaTheme="minorHAnsi" w:hAnsi="Times New Roman" w:cs="Times New Roman"/>
                <w:color w:val="auto"/>
                <w:sz w:val="20"/>
                <w:szCs w:val="20"/>
              </w:rPr>
            </w:pPr>
            <w:r>
              <w:rPr>
                <w:rFonts w:ascii="Times New Roman" w:hAnsi="Times New Roman" w:cs="Times New Roman"/>
                <w:sz w:val="20"/>
                <w:szCs w:val="20"/>
              </w:rPr>
              <w:t>1.Nabywca ma prawo odstąpić od umowy deweloperskiej albo umowy, o której mowa w art. 2 ust. 1 pkt 2, 3 lub 5 Ustawy z dnia 20 maja 2021 r. o ochronie praw nabywcy lokalu mieszkalnego lub domu jednorodzinnego oraz Deweloperskim Funduszu Gwarancyjnym (dalej „Ustawa”):</w:t>
            </w:r>
          </w:p>
          <w:p w14:paraId="7F080073" w14:textId="77777777" w:rsidR="00D85171" w:rsidRDefault="00D85171" w:rsidP="00D85171">
            <w:pPr>
              <w:rPr>
                <w:rFonts w:ascii="Times New Roman" w:hAnsi="Times New Roman" w:cstheme="minorBidi"/>
              </w:rPr>
            </w:pPr>
          </w:p>
          <w:p w14:paraId="71063ED3" w14:textId="77777777" w:rsidR="00D85171" w:rsidRDefault="00D85171" w:rsidP="00D85171">
            <w:pPr>
              <w:pStyle w:val="Akapitzlist"/>
              <w:widowControl/>
              <w:numPr>
                <w:ilvl w:val="0"/>
                <w:numId w:val="8"/>
              </w:numPr>
              <w:autoSpaceDE/>
              <w:adjustRightInd/>
              <w:spacing w:after="200" w:line="276" w:lineRule="auto"/>
              <w:jc w:val="both"/>
              <w:rPr>
                <w:sz w:val="20"/>
              </w:rPr>
            </w:pPr>
            <w:r>
              <w:rPr>
                <w:sz w:val="20"/>
              </w:rPr>
              <w:t>jeżeli umowa deweloperska, nie zawiera odpowiednio elementów, o których mowa w art. 35;</w:t>
            </w:r>
          </w:p>
          <w:p w14:paraId="17A51905" w14:textId="77777777" w:rsidR="00D85171" w:rsidRDefault="00D85171" w:rsidP="00D85171">
            <w:pPr>
              <w:pStyle w:val="Akapitzlist"/>
              <w:widowControl/>
              <w:numPr>
                <w:ilvl w:val="0"/>
                <w:numId w:val="8"/>
              </w:numPr>
              <w:autoSpaceDE/>
              <w:adjustRightInd/>
              <w:spacing w:after="200" w:line="276" w:lineRule="auto"/>
              <w:jc w:val="both"/>
              <w:rPr>
                <w:sz w:val="20"/>
              </w:rPr>
            </w:pPr>
            <w:r>
              <w:rPr>
                <w:sz w:val="20"/>
              </w:rPr>
              <w:t>jeżeli informacje zawarte w umowie deweloperskiej nie są zgodne z informacjami zawartymi w prospekcie informacyjnym lub jego załącznikami, z wyjątkiem zmian, o których mowa w art. 35 ust. 2;</w:t>
            </w:r>
          </w:p>
          <w:p w14:paraId="33BD8BBD" w14:textId="77777777" w:rsidR="00D85171" w:rsidRDefault="00D85171" w:rsidP="00D85171">
            <w:pPr>
              <w:pStyle w:val="Akapitzlist"/>
              <w:widowControl/>
              <w:numPr>
                <w:ilvl w:val="0"/>
                <w:numId w:val="8"/>
              </w:numPr>
              <w:autoSpaceDE/>
              <w:adjustRightInd/>
              <w:spacing w:after="200" w:line="276" w:lineRule="auto"/>
              <w:jc w:val="both"/>
              <w:rPr>
                <w:sz w:val="20"/>
              </w:rPr>
            </w:pPr>
            <w:r>
              <w:rPr>
                <w:sz w:val="20"/>
              </w:rPr>
              <w:t>jeżeli deweloper nie doręczył zgodnie z art. 21 lub art. 22 prospektu informacyjnego wraz z załącznikami lub informacji o zmianie danych lub informacji zawartych w prospekcie informacyjnym lub jego załącznikach;</w:t>
            </w:r>
          </w:p>
          <w:p w14:paraId="09A6B0F9" w14:textId="210F2A0F" w:rsidR="00D85171" w:rsidRDefault="00D85171" w:rsidP="00D85171">
            <w:pPr>
              <w:pStyle w:val="Akapitzlist"/>
              <w:widowControl/>
              <w:numPr>
                <w:ilvl w:val="0"/>
                <w:numId w:val="8"/>
              </w:numPr>
              <w:autoSpaceDE/>
              <w:adjustRightInd/>
              <w:spacing w:line="240" w:lineRule="auto"/>
              <w:jc w:val="both"/>
              <w:rPr>
                <w:sz w:val="20"/>
              </w:rPr>
            </w:pPr>
            <w:r>
              <w:rPr>
                <w:sz w:val="20"/>
              </w:rPr>
              <w:t>jeżeli dane lub informacje zawarte w prospekcie informacyjnym lub jego załącznikach, na podstawie których zawarto umowę</w:t>
            </w:r>
            <w:r>
              <w:t xml:space="preserve"> </w:t>
            </w:r>
            <w:r w:rsidRPr="00712AA9">
              <w:rPr>
                <w:sz w:val="20"/>
              </w:rPr>
              <w:t>deweloperską są</w:t>
            </w:r>
            <w:r>
              <w:t xml:space="preserve"> </w:t>
            </w:r>
            <w:r>
              <w:rPr>
                <w:sz w:val="20"/>
              </w:rPr>
              <w:t>niezgodne ze stanem faktycznym lub prawnym w dniu zawarcia umowy;</w:t>
            </w:r>
          </w:p>
          <w:p w14:paraId="5ADFF5BB" w14:textId="77777777" w:rsidR="00D85171" w:rsidRDefault="00D85171" w:rsidP="00D85171">
            <w:pPr>
              <w:pStyle w:val="Akapitzlist"/>
              <w:widowControl/>
              <w:numPr>
                <w:ilvl w:val="0"/>
                <w:numId w:val="8"/>
              </w:numPr>
              <w:autoSpaceDE/>
              <w:adjustRightInd/>
              <w:spacing w:line="240" w:lineRule="auto"/>
              <w:jc w:val="both"/>
              <w:rPr>
                <w:sz w:val="20"/>
              </w:rPr>
            </w:pPr>
            <w:r>
              <w:rPr>
                <w:sz w:val="20"/>
              </w:rPr>
              <w:t>jeżeli prospekt informacyjny, na podstawie którego zawarto umowę deweloperską, nie zawiera danych informacji określonych we wzorze prospektu informacyjnego;</w:t>
            </w:r>
          </w:p>
          <w:p w14:paraId="5CE2E664" w14:textId="2AD36352" w:rsidR="00D85171" w:rsidRDefault="00D85171" w:rsidP="00D85171">
            <w:pPr>
              <w:pStyle w:val="Akapitzlist"/>
              <w:widowControl/>
              <w:numPr>
                <w:ilvl w:val="0"/>
                <w:numId w:val="8"/>
              </w:numPr>
              <w:autoSpaceDE/>
              <w:adjustRightInd/>
              <w:spacing w:line="240" w:lineRule="auto"/>
              <w:jc w:val="both"/>
              <w:rPr>
                <w:sz w:val="20"/>
              </w:rPr>
            </w:pPr>
            <w:r>
              <w:rPr>
                <w:sz w:val="20"/>
              </w:rPr>
              <w:t>w przypadku nie</w:t>
            </w:r>
            <w:r w:rsidR="00ED1A1F">
              <w:rPr>
                <w:sz w:val="20"/>
              </w:rPr>
              <w:t xml:space="preserve"> </w:t>
            </w:r>
            <w:r>
              <w:rPr>
                <w:sz w:val="20"/>
              </w:rPr>
              <w:t>przeniesienia na nabywcę praw wynikających z umowy deweloperskiej, w terminie wynikającym w tej umowy;</w:t>
            </w:r>
          </w:p>
          <w:p w14:paraId="07AD73E8" w14:textId="77777777" w:rsidR="00D85171" w:rsidRDefault="00D85171" w:rsidP="00D85171">
            <w:pPr>
              <w:pStyle w:val="Akapitzlist"/>
              <w:widowControl/>
              <w:numPr>
                <w:ilvl w:val="0"/>
                <w:numId w:val="8"/>
              </w:numPr>
              <w:autoSpaceDE/>
              <w:adjustRightInd/>
              <w:spacing w:line="240" w:lineRule="auto"/>
              <w:jc w:val="both"/>
              <w:rPr>
                <w:sz w:val="20"/>
              </w:rPr>
            </w:pPr>
            <w:r>
              <w:rPr>
                <w:sz w:val="20"/>
              </w:rPr>
              <w:t>w przypadku, gdy deweloper nie zawrze umowy mieszkaniowego rachunku powierniczego z innym bankiem w trybie i terminie, o których mowa w art. 10 ust. 1;</w:t>
            </w:r>
          </w:p>
          <w:p w14:paraId="24443C23" w14:textId="77777777" w:rsidR="00D85171" w:rsidRDefault="00D85171" w:rsidP="00D85171">
            <w:pPr>
              <w:pStyle w:val="Akapitzlist"/>
              <w:widowControl/>
              <w:numPr>
                <w:ilvl w:val="0"/>
                <w:numId w:val="8"/>
              </w:numPr>
              <w:autoSpaceDE/>
              <w:adjustRightInd/>
              <w:spacing w:line="240" w:lineRule="auto"/>
              <w:jc w:val="both"/>
              <w:rPr>
                <w:sz w:val="20"/>
              </w:rPr>
            </w:pPr>
            <w:r>
              <w:rPr>
                <w:sz w:val="20"/>
              </w:rPr>
              <w:t>w przypadku gdy deweloper nie posiada zgody wierzyciela hipotecznego lub zobowiązania do jej udzielenia, o których mowa w art. 25 ust. 1 pkt. 1 lub 2;</w:t>
            </w:r>
          </w:p>
          <w:p w14:paraId="68C3CEAC" w14:textId="77777777" w:rsidR="00D85171" w:rsidRDefault="00D85171" w:rsidP="00D85171">
            <w:pPr>
              <w:pStyle w:val="Akapitzlist"/>
              <w:widowControl/>
              <w:numPr>
                <w:ilvl w:val="0"/>
                <w:numId w:val="8"/>
              </w:numPr>
              <w:autoSpaceDE/>
              <w:adjustRightInd/>
              <w:spacing w:line="240" w:lineRule="auto"/>
              <w:jc w:val="both"/>
              <w:rPr>
                <w:sz w:val="20"/>
              </w:rPr>
            </w:pPr>
            <w:r>
              <w:rPr>
                <w:sz w:val="20"/>
              </w:rPr>
              <w:lastRenderedPageBreak/>
              <w:t>w przypadku niewykonania przez dewelopera obowiązku, o którym mowa w art. 12 ust. 2, w terminie określonym w tym przepisie;</w:t>
            </w:r>
          </w:p>
          <w:p w14:paraId="3ADC9306" w14:textId="77777777" w:rsidR="00D85171" w:rsidRDefault="00D85171" w:rsidP="00D85171">
            <w:pPr>
              <w:pStyle w:val="Akapitzlist"/>
              <w:widowControl/>
              <w:numPr>
                <w:ilvl w:val="0"/>
                <w:numId w:val="8"/>
              </w:numPr>
              <w:autoSpaceDE/>
              <w:adjustRightInd/>
              <w:spacing w:line="240" w:lineRule="auto"/>
              <w:jc w:val="both"/>
              <w:rPr>
                <w:sz w:val="20"/>
              </w:rPr>
            </w:pPr>
            <w:r>
              <w:rPr>
                <w:sz w:val="20"/>
              </w:rPr>
              <w:t>w przypadku nieusunięcia przez dewelopera wady istotnej lokalu mieszkalnego lub domu jednorodzinnego na zasadach określonych w art. 41 ust. 11;</w:t>
            </w:r>
          </w:p>
          <w:p w14:paraId="3B010E4B" w14:textId="77777777" w:rsidR="00D85171" w:rsidRDefault="00D85171" w:rsidP="00D85171">
            <w:pPr>
              <w:pStyle w:val="Akapitzlist"/>
              <w:widowControl/>
              <w:numPr>
                <w:ilvl w:val="0"/>
                <w:numId w:val="8"/>
              </w:numPr>
              <w:autoSpaceDE/>
              <w:adjustRightInd/>
              <w:spacing w:line="240" w:lineRule="auto"/>
              <w:jc w:val="both"/>
              <w:rPr>
                <w:sz w:val="20"/>
              </w:rPr>
            </w:pPr>
            <w:r>
              <w:rPr>
                <w:sz w:val="20"/>
              </w:rPr>
              <w:t>w przypadku stwierdzenia przez rzeczoznawcę istnienia wady istotnej, o którym mowa w art. 41 ust. 15;</w:t>
            </w:r>
          </w:p>
          <w:p w14:paraId="328E272B" w14:textId="77777777" w:rsidR="00D85171" w:rsidRDefault="00D85171" w:rsidP="00D85171">
            <w:pPr>
              <w:pStyle w:val="Akapitzlist"/>
              <w:widowControl/>
              <w:numPr>
                <w:ilvl w:val="0"/>
                <w:numId w:val="8"/>
              </w:numPr>
              <w:autoSpaceDE/>
              <w:adjustRightInd/>
              <w:spacing w:line="240" w:lineRule="auto"/>
              <w:jc w:val="both"/>
              <w:rPr>
                <w:sz w:val="20"/>
              </w:rPr>
            </w:pPr>
            <w:r>
              <w:rPr>
                <w:sz w:val="20"/>
              </w:rPr>
              <w:t>jeżeli syndyk zażądał wykonania upadłości na podstawie art. 98 ustawy z dnia 28 lutego 2003 r. – Prawo upadłościowe;</w:t>
            </w:r>
          </w:p>
          <w:p w14:paraId="1DF10359" w14:textId="77777777" w:rsidR="00D45DF0" w:rsidRDefault="00D45DF0" w:rsidP="00D85171">
            <w:pPr>
              <w:contextualSpacing/>
              <w:jc w:val="both"/>
              <w:rPr>
                <w:rFonts w:ascii="Times New Roman" w:hAnsi="Times New Roman"/>
                <w:sz w:val="20"/>
                <w:szCs w:val="20"/>
              </w:rPr>
            </w:pPr>
          </w:p>
          <w:p w14:paraId="086E83CA" w14:textId="15DB6CFE" w:rsidR="00D85171" w:rsidRDefault="00D85171" w:rsidP="00D85171">
            <w:pPr>
              <w:contextualSpacing/>
              <w:jc w:val="both"/>
              <w:rPr>
                <w:rFonts w:ascii="Times New Roman" w:hAnsi="Times New Roman"/>
                <w:sz w:val="20"/>
                <w:szCs w:val="20"/>
              </w:rPr>
            </w:pPr>
            <w:r>
              <w:rPr>
                <w:rFonts w:ascii="Times New Roman" w:hAnsi="Times New Roman"/>
                <w:sz w:val="20"/>
                <w:szCs w:val="20"/>
              </w:rPr>
              <w:t>Deweloper ma prawo odstąpić od umowy deweloperskiej stosownie do treści art. 43 ust. 7 i 8 ustawy z dnia 20 maja 2021 roku o ochronie prac nabywcy lokalu mieszkalnego lub domu jednorodzinnego oraz deweloperskim funduszu gwarancyjnym, tj.:</w:t>
            </w:r>
          </w:p>
          <w:p w14:paraId="12C28D04" w14:textId="77777777" w:rsidR="00D85171" w:rsidRDefault="00D85171" w:rsidP="00D85171">
            <w:pPr>
              <w:pStyle w:val="Akapitzlist"/>
              <w:widowControl/>
              <w:numPr>
                <w:ilvl w:val="0"/>
                <w:numId w:val="9"/>
              </w:numPr>
              <w:autoSpaceDE/>
              <w:adjustRightInd/>
              <w:spacing w:line="240" w:lineRule="auto"/>
              <w:jc w:val="both"/>
              <w:rPr>
                <w:sz w:val="20"/>
              </w:rPr>
            </w:pPr>
            <w:r>
              <w:rPr>
                <w:sz w:val="20"/>
              </w:rPr>
              <w:t>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4CA88182" w14:textId="77777777" w:rsidR="00D85171" w:rsidRDefault="00D85171" w:rsidP="00D85171">
            <w:pPr>
              <w:pStyle w:val="Akapitzlist"/>
              <w:widowControl/>
              <w:numPr>
                <w:ilvl w:val="0"/>
                <w:numId w:val="9"/>
              </w:numPr>
              <w:autoSpaceDE/>
              <w:adjustRightInd/>
              <w:spacing w:line="240" w:lineRule="auto"/>
              <w:jc w:val="both"/>
              <w:rPr>
                <w:sz w:val="20"/>
              </w:rPr>
            </w:pPr>
            <w:r>
              <w:rPr>
                <w:sz w:val="20"/>
              </w:rPr>
              <w:t>w przypadku niestawienia się nabywcy do odbioru lokalu mieszkalnego albo domu jednorodzinnego lub podpisania aktu notarialnego przenoszącego na nabywcę prawa wynikające z umowy deweloperskiej, mimo dwukrotnego doręczenia wezwania w formie pisemnej w odstępie co najmniej 60 dni, chyba, że niestawienie się nabywcy jest spowodowane działaniem siły wyższej;</w:t>
            </w:r>
          </w:p>
          <w:p w14:paraId="777D34C3" w14:textId="77777777" w:rsidR="00D85171" w:rsidRDefault="00D85171" w:rsidP="00D85171">
            <w:pPr>
              <w:contextualSpacing/>
              <w:jc w:val="both"/>
              <w:rPr>
                <w:rFonts w:ascii="Times New Roman" w:hAnsi="Times New Roman"/>
                <w:sz w:val="20"/>
                <w:szCs w:val="20"/>
              </w:rPr>
            </w:pPr>
            <w:r>
              <w:rPr>
                <w:rFonts w:ascii="Times New Roman" w:hAnsi="Times New Roman"/>
                <w:sz w:val="20"/>
                <w:szCs w:val="20"/>
              </w:rPr>
              <w:t>W przypadku skorzystania przez nabywcę z prawa odstąpienia, o którym mowa w art. 43 ust. 1, umowa uważana jest za niezawartą, a nabywca nie ponosi żadnych kosztów związanych z odstąpieniem od umowy. Deweloper ma obowiązek niezwłocznie, jednak nie później niż w terminie 30 dni od dnia otrzymania oświadczenia nabywcy o odstąpieniu od umowy, zwrócić nabywcy środki wypłacone deweloperowi przez bank z otwartego mieszkaniowego rachunku powierniczego w związku z realizacją umowy deweloperskiej.</w:t>
            </w:r>
          </w:p>
          <w:p w14:paraId="195E0332" w14:textId="77777777" w:rsidR="00D85171" w:rsidRDefault="00D85171" w:rsidP="00D85171">
            <w:pPr>
              <w:contextualSpacing/>
              <w:jc w:val="both"/>
              <w:rPr>
                <w:rFonts w:ascii="Times New Roman" w:hAnsi="Times New Roman"/>
                <w:sz w:val="20"/>
                <w:szCs w:val="20"/>
              </w:rPr>
            </w:pPr>
            <w:r>
              <w:rPr>
                <w:rFonts w:ascii="Times New Roman" w:hAnsi="Times New Roman"/>
                <w:sz w:val="20"/>
                <w:szCs w:val="20"/>
              </w:rPr>
              <w:t>Ponadto:</w:t>
            </w:r>
          </w:p>
          <w:p w14:paraId="46AD4D6F" w14:textId="361ED280" w:rsidR="00D85171" w:rsidRDefault="00D85171" w:rsidP="00D85171">
            <w:pPr>
              <w:pStyle w:val="Akapitzlist"/>
              <w:widowControl/>
              <w:numPr>
                <w:ilvl w:val="0"/>
                <w:numId w:val="10"/>
              </w:numPr>
              <w:autoSpaceDE/>
              <w:adjustRightInd/>
              <w:spacing w:line="240" w:lineRule="auto"/>
              <w:jc w:val="both"/>
              <w:rPr>
                <w:sz w:val="20"/>
              </w:rPr>
            </w:pPr>
            <w:r>
              <w:rPr>
                <w:sz w:val="20"/>
              </w:rPr>
              <w:t xml:space="preserve">stosownie do § 3 Umowy deweloperskiej w cenie zawarty jest podatek VAT, który w odniesieniu do sprzedaży lokali mieszkalnych i pomieszczeń przynależnych na dzień zawarcia Umowy wynosi 8%, strony ustalają, że w przypadku zmiany powszechnie obowiązujących przepisów prawnych, odnośnie wysokości stawek podatku od towarów i usług, w trakcie obowiązywania Umowy, cena wyliczona w § 3 Umowy ulegnie odpowiedniej zmianie z tego wynikającej. W przypadku, gdy cena ulegnie zwiększeniu w związku z podwyższeniem stawki podatku od towarów i usług VAT, Nabywcy będzie przysługiwać prawo do odstąpienia od niniejszej umowie w terminie </w:t>
            </w:r>
            <w:r w:rsidR="00D45DF0">
              <w:rPr>
                <w:sz w:val="20"/>
              </w:rPr>
              <w:t>14</w:t>
            </w:r>
            <w:r>
              <w:rPr>
                <w:sz w:val="20"/>
              </w:rPr>
              <w:t xml:space="preserve"> dni od dnia powiadomienia go przez Dewelopera o zmianie stawki podatku od towarów i usług VAT, ale nie później niż </w:t>
            </w:r>
            <w:r w:rsidR="00D45DF0">
              <w:rPr>
                <w:sz w:val="20"/>
              </w:rPr>
              <w:t>do dnia poprzedzającego dzień zawarcia umowy przeniesienia własności.</w:t>
            </w:r>
            <w:r>
              <w:rPr>
                <w:sz w:val="20"/>
              </w:rPr>
              <w:t xml:space="preserve"> Deweloper zobowiązuje się do poinformowania Nabywcy o zmianach w zakresie wysokości podatku VAT w terminie do 30 dni od dnia ich wejścia w życie. Przy czym oświadczenie woli Nabywcy o odstąpieniu od Umowy Deweloperskiej z wyżej wymienionej przyczyny będzie skuteczne, jeśli będzie zawierać zgodę na wykreślenie roszczenia o przeniesienie własności Lokalu złożoną w formie pisemnej z podpisami notarialnie poświadczonymi;</w:t>
            </w:r>
          </w:p>
          <w:p w14:paraId="05FA15A5" w14:textId="77777777" w:rsidR="00D85171" w:rsidRDefault="00D85171" w:rsidP="00D85171">
            <w:pPr>
              <w:jc w:val="both"/>
              <w:rPr>
                <w:rFonts w:ascii="Times New Roman" w:hAnsi="Times New Roman" w:cs="Times New Roman"/>
                <w:sz w:val="20"/>
              </w:rPr>
            </w:pPr>
          </w:p>
          <w:p w14:paraId="0306F8D3" w14:textId="36485902" w:rsidR="00D85171" w:rsidRDefault="00D85171" w:rsidP="00D85171">
            <w:pPr>
              <w:spacing w:after="160"/>
              <w:contextualSpacing/>
              <w:jc w:val="both"/>
              <w:rPr>
                <w:rFonts w:ascii="Times New Roman" w:hAnsi="Times New Roman" w:cs="Times New Roman"/>
                <w:sz w:val="20"/>
                <w:szCs w:val="20"/>
              </w:rPr>
            </w:pPr>
            <w:r>
              <w:rPr>
                <w:rFonts w:ascii="Times New Roman" w:hAnsi="Times New Roman" w:cs="Times New Roman"/>
                <w:sz w:val="20"/>
                <w:szCs w:val="20"/>
              </w:rPr>
              <w:t xml:space="preserve">W przypadku odstąpienia Kupujący zobowiązany jest dołączyć  do oświadczenia o odstąpieniu oświadczenie, z notarialnie poświadczonymi podpisami, o  wyrażeniu bezwarunkowej zgody na wykreślenie roszczeń z tytułu zawartej umowy deweloperskiej z księgi wieczystej prowadzonej dla  inwestycji. </w:t>
            </w:r>
          </w:p>
          <w:p w14:paraId="301C4D60" w14:textId="77777777" w:rsidR="009E7EBA" w:rsidRDefault="009E7EBA" w:rsidP="00D85171">
            <w:pPr>
              <w:spacing w:after="160"/>
              <w:contextualSpacing/>
              <w:jc w:val="both"/>
              <w:rPr>
                <w:rFonts w:ascii="Times New Roman" w:hAnsi="Times New Roman" w:cs="Times New Roman"/>
                <w:sz w:val="20"/>
                <w:szCs w:val="20"/>
              </w:rPr>
            </w:pPr>
          </w:p>
          <w:p w14:paraId="19044D53" w14:textId="74A367C9" w:rsidR="009E7EBA" w:rsidRPr="009E7EBA" w:rsidRDefault="009E7EBA" w:rsidP="009E7EBA">
            <w:pPr>
              <w:jc w:val="both"/>
              <w:rPr>
                <w:rFonts w:ascii="Times New Roman" w:hAnsi="Times New Roman" w:cs="Times New Roman"/>
                <w:sz w:val="20"/>
              </w:rPr>
            </w:pPr>
            <w:r>
              <w:rPr>
                <w:rFonts w:ascii="Times New Roman" w:hAnsi="Times New Roman" w:cs="Times New Roman"/>
                <w:sz w:val="20"/>
              </w:rPr>
              <w:t>Inne zapisy wynikające z aktu notarialnego – umowy deweloperskie</w:t>
            </w:r>
          </w:p>
          <w:p w14:paraId="405C2354" w14:textId="00AED313" w:rsidR="004A009C" w:rsidRDefault="004A009C">
            <w:pPr>
              <w:ind w:left="2"/>
            </w:pPr>
          </w:p>
        </w:tc>
      </w:tr>
      <w:tr w:rsidR="004A009C" w14:paraId="4F0366FE" w14:textId="77777777" w:rsidTr="0013095B">
        <w:trPr>
          <w:trHeight w:val="528"/>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477479E" w14:textId="77777777" w:rsidR="004A009C" w:rsidRDefault="00B365B2">
            <w:r>
              <w:rPr>
                <w:rFonts w:ascii="Times New Roman" w:eastAsia="Times New Roman" w:hAnsi="Times New Roman" w:cs="Times New Roman"/>
                <w:b/>
                <w:sz w:val="20"/>
              </w:rPr>
              <w:lastRenderedPageBreak/>
              <w:t xml:space="preserve">INNE INFORMACJE  </w:t>
            </w:r>
          </w:p>
        </w:tc>
      </w:tr>
      <w:tr w:rsidR="004A009C" w14:paraId="424A06B6" w14:textId="77777777" w:rsidTr="0013095B">
        <w:trPr>
          <w:trHeight w:val="4126"/>
        </w:trPr>
        <w:tc>
          <w:tcPr>
            <w:tcW w:w="9747" w:type="dxa"/>
            <w:gridSpan w:val="2"/>
            <w:tcBorders>
              <w:top w:val="single" w:sz="4" w:space="0" w:color="000000"/>
              <w:left w:val="single" w:sz="4" w:space="0" w:color="000000"/>
              <w:bottom w:val="nil"/>
              <w:right w:val="single" w:sz="4" w:space="0" w:color="000000"/>
            </w:tcBorders>
            <w:shd w:val="clear" w:color="auto" w:fill="F3F3F3"/>
            <w:vAlign w:val="center"/>
          </w:tcPr>
          <w:p w14:paraId="3167DA01" w14:textId="77777777" w:rsidR="004F6042" w:rsidRDefault="004F6042" w:rsidP="004F6042">
            <w:pPr>
              <w:pStyle w:val="Default"/>
              <w:rPr>
                <w:sz w:val="20"/>
                <w:szCs w:val="20"/>
              </w:rPr>
            </w:pPr>
            <w:r>
              <w:rPr>
                <w:sz w:val="20"/>
                <w:szCs w:val="20"/>
              </w:rPr>
              <w:t xml:space="preserve">I. Informacja o: </w:t>
            </w:r>
          </w:p>
          <w:p w14:paraId="782314FA" w14:textId="4D9C9FED" w:rsidR="004F6042" w:rsidRDefault="004F6042" w:rsidP="004F6042">
            <w:pPr>
              <w:pStyle w:val="Default"/>
              <w:rPr>
                <w:sz w:val="20"/>
                <w:szCs w:val="20"/>
              </w:rPr>
            </w:pPr>
            <w:r>
              <w:rPr>
                <w:sz w:val="20"/>
                <w:szCs w:val="20"/>
              </w:rPr>
              <w:t xml:space="preserve">1) zgodzie banku lub innego wierzyciela hipotecznego na bez 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 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2F6A87E7" w14:textId="28F472DA" w:rsidR="0043668F" w:rsidRPr="004F6042" w:rsidRDefault="004F6042" w:rsidP="004F6042">
            <w:pPr>
              <w:spacing w:after="87"/>
              <w:rPr>
                <w:rFonts w:ascii="Times New Roman" w:hAnsi="Times New Roman" w:cs="Times New Roman"/>
                <w:sz w:val="20"/>
                <w:szCs w:val="20"/>
              </w:rPr>
            </w:pPr>
            <w:r w:rsidRPr="004F6042">
              <w:rPr>
                <w:rFonts w:ascii="Times New Roman" w:hAnsi="Times New Roman" w:cs="Times New Roman"/>
                <w:sz w:val="20"/>
                <w:szCs w:val="20"/>
              </w:rPr>
              <w:t xml:space="preserve">2) w przypadku umów, o których mowa w art. 2 ust. 2 ustawy z dnia 20 maja 2021 r. o ochronie praw nabywcy lokalu mieszkalnego lub domu jednorodzinnego oraz Deweloperskim Funduszu Gwarancyjnym, o zgodzie banku lub innego wierzyciela hipotecznego na bez obciążeniowe przeniesienie własności lokalu użytkowego na nabywcę po wpłacie pełnej ceny przez nabywcę lub zobowiązaniu do udzielenia takiej zgody, jeżeli takie obciążenie istnieje, albo zgodzie banku lub innego wierzyciela hipotecznego na bez obciążeniowe przeniesienie na nabywcę ułamkowej części własności lokalu użytkowego po wpłacie pełnej ceny przez nabywcę lub zobowiązaniu do udzielenia takiej zgody, jeżeli takie obciążenie istnieje. </w:t>
            </w:r>
          </w:p>
          <w:p w14:paraId="125DAC2A" w14:textId="7ECEE179" w:rsidR="004F6042" w:rsidRDefault="004F6042" w:rsidP="004F6042">
            <w:pPr>
              <w:pStyle w:val="Default"/>
              <w:jc w:val="both"/>
              <w:rPr>
                <w:sz w:val="20"/>
                <w:szCs w:val="20"/>
              </w:rPr>
            </w:pPr>
            <w:r>
              <w:rPr>
                <w:sz w:val="20"/>
                <w:szCs w:val="20"/>
              </w:rPr>
              <w:t xml:space="preserve">II. Informacja o możliwości zapoznania się w lokalu przedsiębiorstwa przez osobę zainteresowaną zawarciem umowy odpowiednio do zakresu umowy z: </w:t>
            </w:r>
          </w:p>
          <w:p w14:paraId="2EA2799C" w14:textId="77777777" w:rsidR="004F6042" w:rsidRDefault="004F6042" w:rsidP="004F6042">
            <w:pPr>
              <w:pStyle w:val="Default"/>
              <w:jc w:val="both"/>
              <w:rPr>
                <w:sz w:val="20"/>
                <w:szCs w:val="20"/>
              </w:rPr>
            </w:pPr>
            <w:r>
              <w:rPr>
                <w:sz w:val="20"/>
                <w:szCs w:val="20"/>
              </w:rPr>
              <w:t xml:space="preserve">1) aktualnym stanem księgi wieczystej prowadzonej dla nieruchomości; </w:t>
            </w:r>
          </w:p>
          <w:p w14:paraId="2A2031E9" w14:textId="61ACE11B" w:rsidR="004F6042" w:rsidRDefault="004F6042" w:rsidP="004F6042">
            <w:pPr>
              <w:pStyle w:val="Default"/>
              <w:jc w:val="both"/>
              <w:rPr>
                <w:sz w:val="20"/>
                <w:szCs w:val="20"/>
              </w:rPr>
            </w:pPr>
            <w:r>
              <w:rPr>
                <w:sz w:val="20"/>
                <w:szCs w:val="20"/>
              </w:rPr>
              <w:t xml:space="preserve">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30278220" w14:textId="77777777" w:rsidR="004F6042" w:rsidRDefault="004F6042" w:rsidP="004F6042">
            <w:pPr>
              <w:pStyle w:val="Default"/>
              <w:jc w:val="both"/>
              <w:rPr>
                <w:sz w:val="20"/>
                <w:szCs w:val="20"/>
              </w:rPr>
            </w:pPr>
            <w:r>
              <w:rPr>
                <w:sz w:val="20"/>
                <w:szCs w:val="20"/>
              </w:rPr>
              <w:t xml:space="preserve">3) pozwoleniem na budowę albo zgłoszeniem budowy, o którym mowa w art. 29 ust. 1 pkt 1 ustawy z dnia 7 lipca 1994 r. – Prawo budowlane, do którego organ administracji architektoniczno-budowlanej nie wniósł sprzeciwu; </w:t>
            </w:r>
          </w:p>
          <w:p w14:paraId="76B7CE3A" w14:textId="77777777" w:rsidR="004F6042" w:rsidRDefault="004F6042" w:rsidP="004F6042">
            <w:pPr>
              <w:pStyle w:val="Default"/>
              <w:jc w:val="both"/>
              <w:rPr>
                <w:sz w:val="20"/>
                <w:szCs w:val="20"/>
              </w:rPr>
            </w:pPr>
            <w:r>
              <w:rPr>
                <w:sz w:val="20"/>
                <w:szCs w:val="20"/>
              </w:rPr>
              <w:t xml:space="preserve">4) sprawozdaniem finansowym dewelopera za ostatnie dwa lata, a w przypadku: </w:t>
            </w:r>
          </w:p>
          <w:p w14:paraId="046F87A7" w14:textId="4044B647" w:rsidR="004F6042" w:rsidRDefault="004F6042" w:rsidP="004F6042">
            <w:pPr>
              <w:pStyle w:val="Default"/>
              <w:jc w:val="both"/>
              <w:rPr>
                <w:sz w:val="20"/>
                <w:szCs w:val="20"/>
              </w:rPr>
            </w:pPr>
            <w:r>
              <w:rPr>
                <w:sz w:val="20"/>
                <w:szCs w:val="20"/>
              </w:rPr>
              <w:t xml:space="preserve">a) prowadzenia działalności przez okres krótszy niż dwa lata – sprawozdaniem finansowym za okres ostatniego roku, </w:t>
            </w:r>
          </w:p>
          <w:p w14:paraId="45B3B974" w14:textId="77777777" w:rsidR="004F6042" w:rsidRDefault="004F6042" w:rsidP="004F6042">
            <w:pPr>
              <w:pStyle w:val="Default"/>
              <w:jc w:val="both"/>
              <w:rPr>
                <w:sz w:val="20"/>
                <w:szCs w:val="20"/>
              </w:rPr>
            </w:pPr>
            <w:r>
              <w:rPr>
                <w:sz w:val="20"/>
                <w:szCs w:val="20"/>
              </w:rPr>
              <w:t xml:space="preserve">b) realizacji inwestycji przez spółkę celową – sprawozdaniem spółki dominującej oraz spółki celowej; </w:t>
            </w:r>
          </w:p>
          <w:p w14:paraId="1ADE824A" w14:textId="77777777" w:rsidR="004F6042" w:rsidRDefault="004F6042" w:rsidP="004F6042">
            <w:pPr>
              <w:pStyle w:val="Default"/>
              <w:jc w:val="both"/>
              <w:rPr>
                <w:sz w:val="20"/>
                <w:szCs w:val="20"/>
              </w:rPr>
            </w:pPr>
            <w:r>
              <w:rPr>
                <w:sz w:val="20"/>
                <w:szCs w:val="20"/>
              </w:rPr>
              <w:t xml:space="preserve">5) projektem budowlanym; </w:t>
            </w:r>
          </w:p>
          <w:p w14:paraId="653920FB" w14:textId="77777777" w:rsidR="004F6042" w:rsidRDefault="004F6042" w:rsidP="004F6042">
            <w:pPr>
              <w:pStyle w:val="Default"/>
              <w:jc w:val="both"/>
              <w:rPr>
                <w:sz w:val="20"/>
                <w:szCs w:val="20"/>
              </w:rPr>
            </w:pPr>
            <w:r>
              <w:rPr>
                <w:sz w:val="20"/>
                <w:szCs w:val="20"/>
              </w:rPr>
              <w:t xml:space="preserve">6) decyzją o pozwoleniu na użytkowanie budynku lub zawiadomieniem o zakończeniu budowy, do którego organ nadzoru budowlanego nie wniósł sprzeciwu; </w:t>
            </w:r>
          </w:p>
          <w:p w14:paraId="1D5DE5A2" w14:textId="0186E758" w:rsidR="004A009C" w:rsidRDefault="004F6042" w:rsidP="004F6042">
            <w:pPr>
              <w:ind w:right="49"/>
              <w:jc w:val="both"/>
              <w:rPr>
                <w:rFonts w:ascii="Times New Roman" w:hAnsi="Times New Roman" w:cs="Times New Roman"/>
                <w:sz w:val="20"/>
                <w:szCs w:val="20"/>
              </w:rPr>
            </w:pPr>
            <w:r w:rsidRPr="004F6042">
              <w:rPr>
                <w:rFonts w:ascii="Times New Roman" w:hAnsi="Times New Roman" w:cs="Times New Roman"/>
                <w:sz w:val="20"/>
                <w:szCs w:val="20"/>
              </w:rPr>
              <w:t xml:space="preserve">7) zaświadczeniem o samodzielności lokalu; </w:t>
            </w:r>
          </w:p>
          <w:p w14:paraId="796B3244" w14:textId="77777777" w:rsidR="004F6042" w:rsidRDefault="004F6042" w:rsidP="004F6042">
            <w:pPr>
              <w:pStyle w:val="Default"/>
              <w:jc w:val="both"/>
              <w:rPr>
                <w:sz w:val="20"/>
                <w:szCs w:val="20"/>
              </w:rPr>
            </w:pPr>
            <w:r>
              <w:rPr>
                <w:sz w:val="20"/>
                <w:szCs w:val="20"/>
              </w:rPr>
              <w:t xml:space="preserve">8) aktem ustanowienia odrębnej własności lokalu; </w:t>
            </w:r>
          </w:p>
          <w:p w14:paraId="20745E21" w14:textId="77777777" w:rsidR="004F6042" w:rsidRDefault="004F6042" w:rsidP="004F6042">
            <w:pPr>
              <w:pStyle w:val="Default"/>
              <w:jc w:val="both"/>
              <w:rPr>
                <w:sz w:val="20"/>
                <w:szCs w:val="20"/>
              </w:rPr>
            </w:pPr>
            <w:r>
              <w:rPr>
                <w:sz w:val="20"/>
                <w:szCs w:val="20"/>
              </w:rPr>
              <w:t xml:space="preserve">9) dokumentem potwierdzającym: </w:t>
            </w:r>
          </w:p>
          <w:p w14:paraId="2B4BE28B" w14:textId="03382F1D" w:rsidR="004F6042" w:rsidRDefault="004F6042" w:rsidP="004F6042">
            <w:pPr>
              <w:pStyle w:val="Default"/>
              <w:jc w:val="both"/>
              <w:rPr>
                <w:sz w:val="20"/>
                <w:szCs w:val="20"/>
              </w:rPr>
            </w:pPr>
            <w:r>
              <w:rPr>
                <w:sz w:val="20"/>
                <w:szCs w:val="20"/>
              </w:rPr>
              <w:t xml:space="preserve">a) zgodę banku lub innego wierzyciela hipotecznego na bez obciążeniowe ustanowienie odrębnej własności lokalu mieszkalnego i przeniesienie jego własności na nabywcę po wpłacie pełnej ceny przez nabywcę lub zobowiązanie do jej udzielenia, jeżeli takie obciążenie istnieje, albo zgodę banku lub innego wierzyciela hipotecznego na bez 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07B36640" w14:textId="041D3C6C" w:rsidR="004F6042" w:rsidRPr="004F6042" w:rsidRDefault="004F6042" w:rsidP="004F6042">
            <w:pPr>
              <w:ind w:right="49"/>
              <w:jc w:val="both"/>
              <w:rPr>
                <w:rFonts w:ascii="Times New Roman" w:hAnsi="Times New Roman" w:cs="Times New Roman"/>
              </w:rPr>
            </w:pPr>
            <w:r w:rsidRPr="004F6042">
              <w:rPr>
                <w:rFonts w:ascii="Times New Roman" w:hAnsi="Times New Roman" w:cs="Times New Roman"/>
                <w:sz w:val="20"/>
                <w:szCs w:val="20"/>
              </w:rPr>
              <w:t xml:space="preserve">b) w przypadku umów, o których mowa w art. 2 ust. 2 ustawy z dnia 20 maja 2021 r. o ochronie praw nabywcy lokalu mieszkalnego lub domu jednorodzinnego oraz Deweloperskim Funduszu Gwarancyjnym, zgodę banku lub innego wierzyciela hipotecznego na bez obciążeniowe przeniesienie własności lokalu użytkowego na nabywcę po wpłacie </w:t>
            </w:r>
            <w:r w:rsidRPr="004F6042">
              <w:rPr>
                <w:rFonts w:ascii="Times New Roman" w:hAnsi="Times New Roman" w:cs="Times New Roman"/>
                <w:sz w:val="20"/>
                <w:szCs w:val="20"/>
              </w:rPr>
              <w:lastRenderedPageBreak/>
              <w:t xml:space="preserve">pełnej ceny przez nabywcę lub zobowiązanie do udzielenia takiej zgody, jeżeli takie obciążenie istnieje, albo zgodę banku lub innego wierzyciela hipotecznego na bez obciążeniowe przeniesienie na nabywcę ułamkowej części własności lokalu użytkowego po wpłacie pełnej ceny przez nabywcę lub zobowiązanie do udzielenia takiej zgody, jeżeli takie obciążenie istnieje. </w:t>
            </w:r>
          </w:p>
          <w:p w14:paraId="5D3631EB" w14:textId="77777777" w:rsidR="004F6042" w:rsidRDefault="004F6042" w:rsidP="004F6042">
            <w:pPr>
              <w:pStyle w:val="Default"/>
              <w:jc w:val="both"/>
              <w:rPr>
                <w:sz w:val="20"/>
                <w:szCs w:val="20"/>
              </w:rPr>
            </w:pPr>
            <w:r>
              <w:rPr>
                <w:sz w:val="20"/>
                <w:szCs w:val="20"/>
              </w:rPr>
              <w:t xml:space="preserve">III. Informacja: </w:t>
            </w:r>
          </w:p>
          <w:p w14:paraId="0325EEB3" w14:textId="48D40B31" w:rsidR="004F6042" w:rsidRDefault="004F6042" w:rsidP="004F6042">
            <w:pPr>
              <w:pStyle w:val="Default"/>
              <w:jc w:val="both"/>
              <w:rPr>
                <w:sz w:val="20"/>
                <w:szCs w:val="20"/>
              </w:rPr>
            </w:pPr>
            <w:r>
              <w:rPr>
                <w:sz w:val="20"/>
                <w:szCs w:val="20"/>
              </w:rPr>
              <w:t>Środki pieniężne zgromadzone w</w:t>
            </w:r>
            <w:r w:rsidR="00065017">
              <w:rPr>
                <w:sz w:val="20"/>
                <w:szCs w:val="20"/>
              </w:rPr>
              <w:t xml:space="preserve"> Mazowieckim Banku Spółdzielczym</w:t>
            </w:r>
            <w:r>
              <w:rPr>
                <w:sz w:val="20"/>
                <w:szCs w:val="20"/>
              </w:rPr>
              <w:t xml:space="preserve">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i 1177). </w:t>
            </w:r>
          </w:p>
          <w:p w14:paraId="6142F2D6" w14:textId="77777777" w:rsidR="004F6042" w:rsidRDefault="004F6042" w:rsidP="004F6042">
            <w:pPr>
              <w:pStyle w:val="Default"/>
              <w:jc w:val="both"/>
              <w:rPr>
                <w:sz w:val="20"/>
                <w:szCs w:val="20"/>
              </w:rPr>
            </w:pPr>
            <w:r>
              <w:rPr>
                <w:sz w:val="20"/>
                <w:szCs w:val="20"/>
              </w:rPr>
              <w:t xml:space="preserve">Informacje podstawowe o obowiązkowym systemie gwarantowania depozytów: </w:t>
            </w:r>
          </w:p>
          <w:p w14:paraId="606AE338" w14:textId="4E20F5B7" w:rsidR="004F6042" w:rsidRDefault="004F6042" w:rsidP="004F6042">
            <w:pPr>
              <w:pStyle w:val="Default"/>
              <w:jc w:val="both"/>
              <w:rPr>
                <w:sz w:val="20"/>
                <w:szCs w:val="20"/>
              </w:rPr>
            </w:pPr>
            <w:r>
              <w:rPr>
                <w:sz w:val="20"/>
                <w:szCs w:val="20"/>
              </w:rPr>
              <w:t xml:space="preserve">– ochrona środków dotyczy sytuacji spełnienia warunku gwarancji wobec Mazowieckiemu Bankowi Spółdzielczemu z siedzibą w Łomiankach, </w:t>
            </w:r>
          </w:p>
          <w:p w14:paraId="7F9BC643" w14:textId="09BE3DFB" w:rsidR="004F6042" w:rsidRDefault="004F6042" w:rsidP="004F6042">
            <w:pPr>
              <w:pStyle w:val="Default"/>
              <w:jc w:val="both"/>
              <w:rPr>
                <w:sz w:val="20"/>
                <w:szCs w:val="20"/>
              </w:rPr>
            </w:pPr>
            <w:r>
              <w:rPr>
                <w:sz w:val="20"/>
                <w:szCs w:val="20"/>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16120043" w14:textId="617F3AF4" w:rsidR="004F6042" w:rsidRDefault="004F6042" w:rsidP="004F6042">
            <w:pPr>
              <w:pStyle w:val="Default"/>
              <w:jc w:val="both"/>
              <w:rPr>
                <w:sz w:val="20"/>
                <w:szCs w:val="20"/>
              </w:rPr>
            </w:pPr>
            <w:r>
              <w:rPr>
                <w:sz w:val="20"/>
                <w:szCs w:val="20"/>
              </w:rPr>
              <w:t xml:space="preserve">–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4BA0D0FF" w14:textId="69059BCC" w:rsidR="004F6042" w:rsidRDefault="004F6042" w:rsidP="004F6042">
            <w:pPr>
              <w:pStyle w:val="Default"/>
              <w:jc w:val="both"/>
              <w:rPr>
                <w:sz w:val="20"/>
                <w:szCs w:val="20"/>
              </w:rPr>
            </w:pPr>
            <w:r>
              <w:rPr>
                <w:sz w:val="20"/>
                <w:szCs w:val="20"/>
              </w:rPr>
              <w:t xml:space="preserve">– 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 </w:t>
            </w:r>
          </w:p>
          <w:p w14:paraId="737EAB7D" w14:textId="77777777" w:rsidR="004F6042" w:rsidRDefault="004F6042" w:rsidP="004F6042">
            <w:pPr>
              <w:pStyle w:val="Default"/>
              <w:jc w:val="both"/>
              <w:rPr>
                <w:sz w:val="20"/>
                <w:szCs w:val="20"/>
              </w:rPr>
            </w:pPr>
            <w:r>
              <w:rPr>
                <w:sz w:val="20"/>
                <w:szCs w:val="20"/>
              </w:rPr>
              <w:t xml:space="preserve">– wypłata środków gwarantowanych – co do zasady – następuje w terminie 7 dni roboczych od dnia spełnienia warunku gwarancji wobec banku, </w:t>
            </w:r>
          </w:p>
          <w:p w14:paraId="5D85C6FB" w14:textId="77777777" w:rsidR="004F6042" w:rsidRDefault="004F6042" w:rsidP="004F6042">
            <w:pPr>
              <w:pStyle w:val="Default"/>
              <w:jc w:val="both"/>
              <w:rPr>
                <w:sz w:val="20"/>
                <w:szCs w:val="20"/>
              </w:rPr>
            </w:pPr>
            <w:r>
              <w:rPr>
                <w:sz w:val="20"/>
                <w:szCs w:val="20"/>
              </w:rPr>
              <w:t xml:space="preserve">– wypłata środków gwarantowanych jest dokonywana w złotych, </w:t>
            </w:r>
          </w:p>
          <w:p w14:paraId="702F6CAA" w14:textId="65B5B5CA" w:rsidR="004F6042" w:rsidRDefault="004F6042" w:rsidP="004F6042">
            <w:pPr>
              <w:pStyle w:val="Default"/>
              <w:jc w:val="both"/>
              <w:rPr>
                <w:sz w:val="20"/>
                <w:szCs w:val="20"/>
              </w:rPr>
            </w:pPr>
            <w:r>
              <w:rPr>
                <w:sz w:val="20"/>
                <w:szCs w:val="20"/>
              </w:rPr>
              <w:t xml:space="preserve">– Mazowiecki Bank Spółdzielczy z siedzibą w Łomiankach korzysta także z następujących znaków towarowych: </w:t>
            </w:r>
          </w:p>
          <w:p w14:paraId="71EA0B3B" w14:textId="77777777" w:rsidR="0043668F" w:rsidRDefault="004F6042" w:rsidP="004F6042">
            <w:pPr>
              <w:ind w:right="49"/>
              <w:jc w:val="both"/>
              <w:rPr>
                <w:rFonts w:ascii="Times New Roman" w:hAnsi="Times New Roman" w:cs="Times New Roman"/>
                <w:sz w:val="20"/>
                <w:szCs w:val="20"/>
              </w:rPr>
            </w:pPr>
            <w:r w:rsidRPr="004F6042">
              <w:rPr>
                <w:rFonts w:ascii="Times New Roman" w:hAnsi="Times New Roman" w:cs="Times New Roman"/>
                <w:sz w:val="20"/>
                <w:szCs w:val="20"/>
              </w:rPr>
              <w:t xml:space="preserve">Dalsze informacje na temat systemu gwarantowania depozytów można uzyskać na stronie internetowej Bankowego Funduszu Gwarancyjnego: https://www.bfg.pl/. </w:t>
            </w:r>
          </w:p>
          <w:p w14:paraId="5A2C7C6D" w14:textId="77777777" w:rsidR="004F6042" w:rsidRPr="004F6042" w:rsidRDefault="004F6042" w:rsidP="004F6042">
            <w:pPr>
              <w:pStyle w:val="Default"/>
              <w:jc w:val="both"/>
              <w:rPr>
                <w:sz w:val="20"/>
                <w:szCs w:val="20"/>
              </w:rPr>
            </w:pPr>
            <w:r>
              <w:rPr>
                <w:sz w:val="20"/>
                <w:szCs w:val="20"/>
              </w:rPr>
              <w:t xml:space="preserve">Informacja zamieszczana w przypadku zawarcia umowy mieszkaniowego rachunku powierniczego z oddziałem </w:t>
            </w:r>
            <w:r w:rsidRPr="004F6042">
              <w:rPr>
                <w:sz w:val="20"/>
                <w:szCs w:val="20"/>
              </w:rPr>
              <w:t xml:space="preserve">instytucji kredytowej w rozumieniu art. 4 ust. 1 pkt 18 ustawy z dnia 29 sierpnia 1997 r. – Prawo bankowe (Dz. U. z 2020 r. poz. 1896, 2320 i 2419 oraz z 2021 r. poz. 432, 680, 815 i 1177). </w:t>
            </w:r>
          </w:p>
          <w:p w14:paraId="66AD660E" w14:textId="77777777" w:rsidR="004F6042" w:rsidRPr="004F6042" w:rsidRDefault="004F6042" w:rsidP="004F6042">
            <w:pPr>
              <w:ind w:right="49"/>
              <w:jc w:val="both"/>
              <w:rPr>
                <w:rFonts w:ascii="Times New Roman" w:hAnsi="Times New Roman" w:cs="Times New Roman"/>
              </w:rPr>
            </w:pPr>
            <w:r w:rsidRPr="004F6042">
              <w:rPr>
                <w:rFonts w:ascii="Times New Roman" w:hAnsi="Times New Roman" w:cs="Times New Roman"/>
                <w:sz w:val="20"/>
                <w:szCs w:val="2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w:t>
            </w:r>
          </w:p>
          <w:p w14:paraId="2F5746F6" w14:textId="70802315" w:rsidR="004F6042" w:rsidRPr="004F6042" w:rsidRDefault="004F6042" w:rsidP="004F6042">
            <w:pPr>
              <w:pStyle w:val="Default"/>
              <w:jc w:val="both"/>
              <w:rPr>
                <w:sz w:val="20"/>
                <w:szCs w:val="20"/>
              </w:rPr>
            </w:pPr>
            <w:r>
              <w:rPr>
                <w:sz w:val="20"/>
                <w:szCs w:val="20"/>
              </w:rPr>
              <w:t xml:space="preserve">oraz przymusowej restrukturyzacji. </w:t>
            </w:r>
          </w:p>
        </w:tc>
      </w:tr>
    </w:tbl>
    <w:p w14:paraId="07B514DD" w14:textId="33F6AE6B" w:rsidR="004A009C" w:rsidRDefault="00B365B2">
      <w:pPr>
        <w:spacing w:after="0"/>
        <w:jc w:val="both"/>
      </w:pPr>
      <w:r>
        <w:rPr>
          <w:rFonts w:ascii="Times New Roman" w:eastAsia="Times New Roman" w:hAnsi="Times New Roman" w:cs="Times New Roman"/>
          <w:sz w:val="20"/>
        </w:rPr>
        <w:lastRenderedPageBreak/>
        <w:tab/>
        <w:t xml:space="preserve"> </w:t>
      </w:r>
    </w:p>
    <w:p w14:paraId="535D8BF5" w14:textId="77777777" w:rsidR="004A009C" w:rsidRDefault="00B365B2">
      <w:pPr>
        <w:spacing w:after="495" w:line="265" w:lineRule="auto"/>
        <w:ind w:left="10" w:right="-10" w:hanging="10"/>
        <w:jc w:val="right"/>
      </w:pPr>
      <w:r>
        <w:rPr>
          <w:rFonts w:ascii="Times New Roman" w:eastAsia="Times New Roman" w:hAnsi="Times New Roman" w:cs="Times New Roman"/>
          <w:b/>
          <w:sz w:val="20"/>
        </w:rPr>
        <w:t xml:space="preserve">Podpis dewelopera albo osoby upoważnionej do reprezentacji dewelopera </w:t>
      </w:r>
    </w:p>
    <w:p w14:paraId="46CF24D3" w14:textId="77777777" w:rsidR="004A009C" w:rsidRDefault="00B365B2">
      <w:pPr>
        <w:spacing w:after="653" w:line="265" w:lineRule="auto"/>
        <w:ind w:left="10" w:right="-10" w:hanging="10"/>
        <w:jc w:val="right"/>
      </w:pPr>
      <w:r>
        <w:rPr>
          <w:rFonts w:ascii="Times New Roman" w:eastAsia="Times New Roman" w:hAnsi="Times New Roman" w:cs="Times New Roman"/>
          <w:b/>
          <w:sz w:val="20"/>
        </w:rPr>
        <w:t xml:space="preserve">…...…………………………………. </w:t>
      </w:r>
    </w:p>
    <w:p w14:paraId="13C47EEF" w14:textId="77777777" w:rsidR="004A009C" w:rsidRDefault="00B365B2">
      <w:pPr>
        <w:spacing w:after="409"/>
        <w:ind w:left="-48" w:right="-94"/>
      </w:pPr>
      <w:r>
        <w:rPr>
          <w:noProof/>
        </w:rPr>
        <mc:AlternateContent>
          <mc:Choice Requires="wpg">
            <w:drawing>
              <wp:inline distT="0" distB="0" distL="0" distR="0" wp14:anchorId="2BF54498" wp14:editId="7B5552A8">
                <wp:extent cx="6355297" cy="24073"/>
                <wp:effectExtent l="0" t="0" r="0" b="0"/>
                <wp:docPr id="21606" name="Group 21606"/>
                <wp:cNvGraphicFramePr/>
                <a:graphic xmlns:a="http://schemas.openxmlformats.org/drawingml/2006/main">
                  <a:graphicData uri="http://schemas.microsoft.com/office/word/2010/wordprocessingGroup">
                    <wpg:wgp>
                      <wpg:cNvGrpSpPr/>
                      <wpg:grpSpPr>
                        <a:xfrm>
                          <a:off x="0" y="0"/>
                          <a:ext cx="6355297" cy="24073"/>
                          <a:chOff x="0" y="0"/>
                          <a:chExt cx="6355297" cy="24073"/>
                        </a:xfrm>
                      </wpg:grpSpPr>
                      <wps:wsp>
                        <wps:cNvPr id="3218" name="Shape 3218"/>
                        <wps:cNvSpPr/>
                        <wps:spPr>
                          <a:xfrm>
                            <a:off x="0" y="0"/>
                            <a:ext cx="6355297" cy="0"/>
                          </a:xfrm>
                          <a:custGeom>
                            <a:avLst/>
                            <a:gdLst/>
                            <a:ahLst/>
                            <a:cxnLst/>
                            <a:rect l="0" t="0" r="0" b="0"/>
                            <a:pathLst>
                              <a:path w="6355297">
                                <a:moveTo>
                                  <a:pt x="0" y="0"/>
                                </a:moveTo>
                                <a:lnTo>
                                  <a:pt x="6355297" y="0"/>
                                </a:lnTo>
                              </a:path>
                            </a:pathLst>
                          </a:custGeom>
                          <a:ln w="2407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06" style="width:500.417pt;height:1.89552pt;mso-position-horizontal-relative:char;mso-position-vertical-relative:line" coordsize="63552,240">
                <v:shape id="Shape 3218" style="position:absolute;width:63552;height:0;left:0;top:0;" coordsize="6355297,0" path="m0,0l6355297,0">
                  <v:stroke weight="1.89552pt" endcap="flat" joinstyle="round" on="true" color="#000000"/>
                  <v:fill on="false" color="#000000" opacity="0"/>
                </v:shape>
              </v:group>
            </w:pict>
          </mc:Fallback>
        </mc:AlternateContent>
      </w:r>
    </w:p>
    <w:p w14:paraId="744646DA" w14:textId="77777777" w:rsidR="004A009C" w:rsidRDefault="00B365B2">
      <w:pPr>
        <w:spacing w:after="115" w:line="265" w:lineRule="auto"/>
        <w:ind w:left="-5" w:hanging="10"/>
      </w:pPr>
      <w:r>
        <w:rPr>
          <w:rFonts w:ascii="Times New Roman" w:eastAsia="Times New Roman" w:hAnsi="Times New Roman" w:cs="Times New Roman"/>
          <w:b/>
          <w:sz w:val="20"/>
        </w:rPr>
        <w:t xml:space="preserve">Załączniki: </w:t>
      </w:r>
    </w:p>
    <w:p w14:paraId="59B7D2BF" w14:textId="2F0D503B" w:rsidR="0045372F" w:rsidRPr="00065017" w:rsidRDefault="00065017" w:rsidP="0045372F">
      <w:pPr>
        <w:numPr>
          <w:ilvl w:val="0"/>
          <w:numId w:val="3"/>
        </w:numPr>
        <w:spacing w:after="41" w:line="251" w:lineRule="auto"/>
        <w:ind w:hanging="276"/>
        <w:jc w:val="both"/>
      </w:pPr>
      <w:r>
        <w:rPr>
          <w:rFonts w:ascii="Times New Roman" w:hAnsi="Times New Roman" w:cs="Times New Roman"/>
          <w:sz w:val="20"/>
          <w:szCs w:val="20"/>
        </w:rPr>
        <w:t xml:space="preserve">Plan zagospodarowania nieruchomości </w:t>
      </w:r>
      <w:r w:rsidR="008624CF">
        <w:rPr>
          <w:rFonts w:ascii="Times New Roman" w:hAnsi="Times New Roman" w:cs="Times New Roman"/>
          <w:sz w:val="20"/>
          <w:szCs w:val="20"/>
        </w:rPr>
        <w:t>określający lokalizację budynku, lokalu</w:t>
      </w:r>
      <w:r w:rsidR="00680D5E">
        <w:rPr>
          <w:rFonts w:ascii="Times New Roman" w:hAnsi="Times New Roman" w:cs="Times New Roman"/>
          <w:sz w:val="20"/>
          <w:szCs w:val="20"/>
        </w:rPr>
        <w:t xml:space="preserve"> mieszkalnego</w:t>
      </w:r>
      <w:r w:rsidR="008624CF">
        <w:rPr>
          <w:rFonts w:ascii="Times New Roman" w:hAnsi="Times New Roman" w:cs="Times New Roman"/>
          <w:sz w:val="20"/>
          <w:szCs w:val="20"/>
        </w:rPr>
        <w:t>, miejsc postojowych,</w:t>
      </w:r>
      <w:r>
        <w:rPr>
          <w:rFonts w:ascii="Times New Roman" w:hAnsi="Times New Roman" w:cs="Times New Roman"/>
          <w:sz w:val="20"/>
          <w:szCs w:val="20"/>
        </w:rPr>
        <w:t xml:space="preserve"> ogródków</w:t>
      </w:r>
    </w:p>
    <w:p w14:paraId="6964494F" w14:textId="73904BF3" w:rsidR="00065017" w:rsidRPr="00065017" w:rsidRDefault="00065017" w:rsidP="0045372F">
      <w:pPr>
        <w:numPr>
          <w:ilvl w:val="0"/>
          <w:numId w:val="3"/>
        </w:numPr>
        <w:spacing w:after="41" w:line="251" w:lineRule="auto"/>
        <w:ind w:hanging="276"/>
        <w:jc w:val="both"/>
      </w:pPr>
      <w:r>
        <w:rPr>
          <w:rFonts w:ascii="Times New Roman" w:hAnsi="Times New Roman" w:cs="Times New Roman"/>
          <w:sz w:val="20"/>
          <w:szCs w:val="20"/>
        </w:rPr>
        <w:t>Rzut</w:t>
      </w:r>
      <w:r w:rsidRPr="00ED1A1F">
        <w:rPr>
          <w:rFonts w:ascii="Times New Roman" w:hAnsi="Times New Roman" w:cs="Times New Roman"/>
          <w:sz w:val="20"/>
          <w:szCs w:val="20"/>
        </w:rPr>
        <w:t xml:space="preserve"> lokalu</w:t>
      </w:r>
    </w:p>
    <w:p w14:paraId="40AAEFC9" w14:textId="1AD29E48" w:rsidR="00065017" w:rsidRPr="00065017" w:rsidRDefault="00065017" w:rsidP="0045372F">
      <w:pPr>
        <w:numPr>
          <w:ilvl w:val="0"/>
          <w:numId w:val="3"/>
        </w:numPr>
        <w:spacing w:after="41" w:line="251" w:lineRule="auto"/>
        <w:ind w:hanging="276"/>
        <w:jc w:val="both"/>
      </w:pPr>
      <w:r>
        <w:rPr>
          <w:rFonts w:ascii="Times New Roman" w:hAnsi="Times New Roman" w:cs="Times New Roman"/>
          <w:sz w:val="20"/>
          <w:szCs w:val="20"/>
        </w:rPr>
        <w:t>Wzór umowy deweloperskiej</w:t>
      </w:r>
    </w:p>
    <w:p w14:paraId="5F482F22" w14:textId="6034DA23" w:rsidR="00065017" w:rsidRPr="0045372F" w:rsidRDefault="00065017" w:rsidP="0045372F">
      <w:pPr>
        <w:numPr>
          <w:ilvl w:val="0"/>
          <w:numId w:val="3"/>
        </w:numPr>
        <w:spacing w:after="41" w:line="251" w:lineRule="auto"/>
        <w:ind w:hanging="276"/>
        <w:jc w:val="both"/>
      </w:pPr>
      <w:r>
        <w:rPr>
          <w:rFonts w:ascii="Times New Roman" w:hAnsi="Times New Roman" w:cs="Times New Roman"/>
          <w:sz w:val="20"/>
          <w:szCs w:val="20"/>
        </w:rPr>
        <w:t>Specyfikacja stanu deweloperskiego</w:t>
      </w:r>
    </w:p>
    <w:sectPr w:rsidR="00065017" w:rsidRPr="0045372F">
      <w:footerReference w:type="default" r:id="rId12"/>
      <w:pgSz w:w="11906" w:h="16838"/>
      <w:pgMar w:top="1459" w:right="1020" w:bottom="1265"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FEB5" w14:textId="77777777" w:rsidR="005B6F0C" w:rsidRDefault="005B6F0C">
      <w:pPr>
        <w:spacing w:after="0" w:line="240" w:lineRule="auto"/>
      </w:pPr>
      <w:r>
        <w:separator/>
      </w:r>
    </w:p>
  </w:endnote>
  <w:endnote w:type="continuationSeparator" w:id="0">
    <w:p w14:paraId="61200E0D" w14:textId="77777777" w:rsidR="005B6F0C" w:rsidRDefault="005B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199139"/>
      <w:docPartObj>
        <w:docPartGallery w:val="Page Numbers (Bottom of Page)"/>
        <w:docPartUnique/>
      </w:docPartObj>
    </w:sdtPr>
    <w:sdtContent>
      <w:p w14:paraId="1C5C2AE0" w14:textId="236BC032" w:rsidR="00F90932" w:rsidRDefault="00F90932">
        <w:pPr>
          <w:pStyle w:val="Stopka"/>
          <w:jc w:val="right"/>
        </w:pPr>
        <w:r>
          <w:fldChar w:fldCharType="begin"/>
        </w:r>
        <w:r>
          <w:instrText>PAGE   \* MERGEFORMAT</w:instrText>
        </w:r>
        <w:r>
          <w:fldChar w:fldCharType="separate"/>
        </w:r>
        <w:r>
          <w:t>2</w:t>
        </w:r>
        <w:r>
          <w:fldChar w:fldCharType="end"/>
        </w:r>
      </w:p>
    </w:sdtContent>
  </w:sdt>
  <w:p w14:paraId="0628B7F4" w14:textId="77777777" w:rsidR="00F90932" w:rsidRDefault="00F909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FAE0" w14:textId="77777777" w:rsidR="005B6F0C" w:rsidRDefault="005B6F0C">
      <w:pPr>
        <w:tabs>
          <w:tab w:val="center" w:pos="2876"/>
        </w:tabs>
        <w:spacing w:after="62"/>
      </w:pPr>
      <w:r>
        <w:separator/>
      </w:r>
    </w:p>
  </w:footnote>
  <w:footnote w:type="continuationSeparator" w:id="0">
    <w:p w14:paraId="774CFFBF" w14:textId="77777777" w:rsidR="005B6F0C" w:rsidRDefault="005B6F0C">
      <w:pPr>
        <w:tabs>
          <w:tab w:val="center" w:pos="2876"/>
        </w:tabs>
        <w:spacing w:after="62"/>
      </w:pPr>
      <w:r>
        <w:continuationSeparator/>
      </w:r>
    </w:p>
  </w:footnote>
  <w:footnote w:id="1">
    <w:p w14:paraId="23F573DC" w14:textId="77777777" w:rsidR="004A009C" w:rsidRDefault="00B365B2">
      <w:pPr>
        <w:pStyle w:val="footnotedescription"/>
        <w:tabs>
          <w:tab w:val="center" w:pos="2876"/>
        </w:tabs>
        <w:spacing w:after="62"/>
        <w:jc w:val="left"/>
      </w:pPr>
      <w:r>
        <w:rPr>
          <w:rStyle w:val="footnotemark"/>
        </w:rPr>
        <w:footnoteRef/>
      </w:r>
      <w:r>
        <w:t xml:space="preserve"> </w:t>
      </w:r>
      <w:r>
        <w:rPr>
          <w:vertAlign w:val="superscript"/>
        </w:rPr>
        <w:t>)</w:t>
      </w:r>
      <w:r>
        <w:t xml:space="preserve"> </w:t>
      </w:r>
      <w:r>
        <w:tab/>
        <w:t xml:space="preserve">Jeżeli działka nie posiada adresu, należy opisowo określić jej położenie. </w:t>
      </w:r>
    </w:p>
  </w:footnote>
  <w:footnote w:id="2">
    <w:p w14:paraId="1A6A771F" w14:textId="77777777" w:rsidR="004A009C" w:rsidRDefault="00B365B2">
      <w:pPr>
        <w:pStyle w:val="footnotedescription"/>
        <w:tabs>
          <w:tab w:val="right" w:pos="9866"/>
        </w:tabs>
        <w:jc w:val="left"/>
      </w:pPr>
      <w:r>
        <w:rPr>
          <w:rStyle w:val="footnotemark"/>
        </w:rPr>
        <w:footnoteRef/>
      </w:r>
      <w:r>
        <w:t xml:space="preserve"> </w:t>
      </w:r>
      <w:r>
        <w:rPr>
          <w:vertAlign w:val="superscript"/>
        </w:rPr>
        <w:t>)</w:t>
      </w:r>
      <w:r>
        <w:t xml:space="preserve"> </w:t>
      </w:r>
      <w:r>
        <w:tab/>
        <w:t xml:space="preserve">W szczególności imię i nazwisko albo firma właściciela lub użytkownika wieczystego oraz istniejące obciążenia na nieruchomości. </w:t>
      </w:r>
    </w:p>
  </w:footnote>
  <w:footnote w:id="3">
    <w:p w14:paraId="01689C95" w14:textId="77777777" w:rsidR="004A009C" w:rsidRDefault="00B365B2">
      <w:pPr>
        <w:pStyle w:val="footnotedescription"/>
        <w:tabs>
          <w:tab w:val="center" w:pos="4426"/>
        </w:tabs>
        <w:jc w:val="left"/>
      </w:pPr>
      <w:r>
        <w:rPr>
          <w:rStyle w:val="footnotemark"/>
        </w:rPr>
        <w:footnoteRef/>
      </w:r>
      <w:r>
        <w:t xml:space="preserve"> </w:t>
      </w:r>
      <w:r>
        <w:rPr>
          <w:vertAlign w:val="superscript"/>
        </w:rPr>
        <w:t>)</w:t>
      </w:r>
      <w:r>
        <w:t xml:space="preserve"> </w:t>
      </w:r>
      <w:r>
        <w:tab/>
        <w:t xml:space="preserve">W przypadku braku miejscowego planu zagospodarowania przestrzennego umieszcza się informację „Brak planu”. </w:t>
      </w:r>
    </w:p>
  </w:footnote>
  <w:footnote w:id="4">
    <w:p w14:paraId="254BBC13" w14:textId="77777777" w:rsidR="004A009C" w:rsidRDefault="00B365B2">
      <w:pPr>
        <w:pStyle w:val="footnotedescription"/>
        <w:spacing w:line="332" w:lineRule="auto"/>
        <w:ind w:left="281" w:hanging="281"/>
      </w:pPr>
      <w:r>
        <w:rPr>
          <w:rStyle w:val="footnotemark"/>
        </w:rPr>
        <w:footnoteRef/>
      </w:r>
      <w:r>
        <w:t xml:space="preserve"> </w:t>
      </w:r>
      <w:r>
        <w:rPr>
          <w:vertAlign w:val="superscript"/>
        </w:rPr>
        <w:t>)</w:t>
      </w:r>
      <w:r>
        <w:t xml:space="preserve"> Wskazane inwestycje dotyczą w szczególności: budowy lub rozbudowy dróg, budowy linii szynowych oraz przewidzianych korytarzy powietrznych, inwestycji komunalnych, takich jak: oczyszczalnie ścieków, spalarnie śmieci, wysypiska, cmentarze.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4E59"/>
    <w:multiLevelType w:val="hybridMultilevel"/>
    <w:tmpl w:val="ED4C2AC0"/>
    <w:lvl w:ilvl="0" w:tplc="63C29360">
      <w:start w:val="1"/>
      <w:numFmt w:val="decimal"/>
      <w:lvlText w:val="%1)"/>
      <w:lvlJc w:val="left"/>
      <w:pPr>
        <w:ind w:left="7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BEF010">
      <w:start w:val="1"/>
      <w:numFmt w:val="lowerLetter"/>
      <w:lvlText w:val="%2)"/>
      <w:lvlJc w:val="left"/>
      <w:pPr>
        <w:ind w:left="1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129778">
      <w:start w:val="1"/>
      <w:numFmt w:val="lowerRoman"/>
      <w:lvlText w:val="%3"/>
      <w:lvlJc w:val="left"/>
      <w:pPr>
        <w:ind w:left="1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04D596">
      <w:start w:val="1"/>
      <w:numFmt w:val="decimal"/>
      <w:lvlText w:val="%4"/>
      <w:lvlJc w:val="left"/>
      <w:pPr>
        <w:ind w:left="2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2E3C68">
      <w:start w:val="1"/>
      <w:numFmt w:val="lowerLetter"/>
      <w:lvlText w:val="%5"/>
      <w:lvlJc w:val="left"/>
      <w:pPr>
        <w:ind w:left="3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B4363A">
      <w:start w:val="1"/>
      <w:numFmt w:val="lowerRoman"/>
      <w:lvlText w:val="%6"/>
      <w:lvlJc w:val="left"/>
      <w:pPr>
        <w:ind w:left="4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141560">
      <w:start w:val="1"/>
      <w:numFmt w:val="decimal"/>
      <w:lvlText w:val="%7"/>
      <w:lvlJc w:val="left"/>
      <w:pPr>
        <w:ind w:left="4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6E7398">
      <w:start w:val="1"/>
      <w:numFmt w:val="lowerLetter"/>
      <w:lvlText w:val="%8"/>
      <w:lvlJc w:val="left"/>
      <w:pPr>
        <w:ind w:left="5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2469DE">
      <w:start w:val="1"/>
      <w:numFmt w:val="lowerRoman"/>
      <w:lvlText w:val="%9"/>
      <w:lvlJc w:val="left"/>
      <w:pPr>
        <w:ind w:left="6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513A2C"/>
    <w:multiLevelType w:val="hybridMultilevel"/>
    <w:tmpl w:val="73C6FFE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1C1A5A65"/>
    <w:multiLevelType w:val="hybridMultilevel"/>
    <w:tmpl w:val="3A5A07D4"/>
    <w:lvl w:ilvl="0" w:tplc="A6FA613E">
      <w:start w:val="1"/>
      <w:numFmt w:val="upperRoman"/>
      <w:lvlText w:val="%1."/>
      <w:lvlJc w:val="left"/>
      <w:pPr>
        <w:ind w:left="10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2A6193E">
      <w:start w:val="1"/>
      <w:numFmt w:val="lowerLetter"/>
      <w:lvlText w:val="%2"/>
      <w:lvlJc w:val="left"/>
      <w:pPr>
        <w:ind w:left="14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9D8E50A">
      <w:start w:val="1"/>
      <w:numFmt w:val="lowerRoman"/>
      <w:lvlText w:val="%3"/>
      <w:lvlJc w:val="left"/>
      <w:pPr>
        <w:ind w:left="21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5EE5D56">
      <w:start w:val="1"/>
      <w:numFmt w:val="decimal"/>
      <w:lvlText w:val="%4"/>
      <w:lvlJc w:val="left"/>
      <w:pPr>
        <w:ind w:left="28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A3E2D54">
      <w:start w:val="1"/>
      <w:numFmt w:val="lowerLetter"/>
      <w:lvlText w:val="%5"/>
      <w:lvlJc w:val="left"/>
      <w:pPr>
        <w:ind w:left="359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5E6E59C">
      <w:start w:val="1"/>
      <w:numFmt w:val="lowerRoman"/>
      <w:lvlText w:val="%6"/>
      <w:lvlJc w:val="left"/>
      <w:pPr>
        <w:ind w:left="43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B6A08D4">
      <w:start w:val="1"/>
      <w:numFmt w:val="decimal"/>
      <w:lvlText w:val="%7"/>
      <w:lvlJc w:val="left"/>
      <w:pPr>
        <w:ind w:left="50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EA0548E">
      <w:start w:val="1"/>
      <w:numFmt w:val="lowerLetter"/>
      <w:lvlText w:val="%8"/>
      <w:lvlJc w:val="left"/>
      <w:pPr>
        <w:ind w:left="57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2B696CC">
      <w:start w:val="1"/>
      <w:numFmt w:val="lowerRoman"/>
      <w:lvlText w:val="%9"/>
      <w:lvlJc w:val="left"/>
      <w:pPr>
        <w:ind w:left="64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16E0896"/>
    <w:multiLevelType w:val="hybridMultilevel"/>
    <w:tmpl w:val="11C65A76"/>
    <w:lvl w:ilvl="0" w:tplc="ED50B0B6">
      <w:start w:val="1"/>
      <w:numFmt w:val="bullet"/>
      <w:lvlText w:val="–"/>
      <w:lvlJc w:val="left"/>
      <w:pPr>
        <w:ind w:left="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50E98C">
      <w:start w:val="1"/>
      <w:numFmt w:val="bullet"/>
      <w:lvlText w:val="o"/>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12B4F8">
      <w:start w:val="1"/>
      <w:numFmt w:val="bullet"/>
      <w:lvlText w:val="▪"/>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FAAA78">
      <w:start w:val="1"/>
      <w:numFmt w:val="bullet"/>
      <w:lvlText w:val="•"/>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CE001C">
      <w:start w:val="1"/>
      <w:numFmt w:val="bullet"/>
      <w:lvlText w:val="o"/>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DCDF1C">
      <w:start w:val="1"/>
      <w:numFmt w:val="bullet"/>
      <w:lvlText w:val="▪"/>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C0FF84">
      <w:start w:val="1"/>
      <w:numFmt w:val="bullet"/>
      <w:lvlText w:val="•"/>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02173E">
      <w:start w:val="1"/>
      <w:numFmt w:val="bullet"/>
      <w:lvlText w:val="o"/>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10ED0C">
      <w:start w:val="1"/>
      <w:numFmt w:val="bullet"/>
      <w:lvlText w:val="▪"/>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6B6706B"/>
    <w:multiLevelType w:val="hybridMultilevel"/>
    <w:tmpl w:val="00541582"/>
    <w:lvl w:ilvl="0" w:tplc="9D2E684C">
      <w:start w:val="3"/>
      <w:numFmt w:val="decimal"/>
      <w:lvlText w:val="%1)"/>
      <w:lvlJc w:val="left"/>
      <w:pPr>
        <w:ind w:left="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877AB5D2">
      <w:start w:val="1"/>
      <w:numFmt w:val="decimal"/>
      <w:lvlText w:val="%2)"/>
      <w:lvlJc w:val="left"/>
      <w:pPr>
        <w:ind w:left="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94B614">
      <w:start w:val="1"/>
      <w:numFmt w:val="lowerRoman"/>
      <w:lvlText w:val="%3"/>
      <w:lvlJc w:val="left"/>
      <w:pPr>
        <w:ind w:left="1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DB22448">
      <w:start w:val="1"/>
      <w:numFmt w:val="decimal"/>
      <w:lvlText w:val="%4"/>
      <w:lvlJc w:val="left"/>
      <w:pPr>
        <w:ind w:left="2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D4446C">
      <w:start w:val="1"/>
      <w:numFmt w:val="lowerLetter"/>
      <w:lvlText w:val="%5"/>
      <w:lvlJc w:val="left"/>
      <w:pPr>
        <w:ind w:left="2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86DBBC">
      <w:start w:val="1"/>
      <w:numFmt w:val="lowerRoman"/>
      <w:lvlText w:val="%6"/>
      <w:lvlJc w:val="left"/>
      <w:pPr>
        <w:ind w:left="3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B16151E">
      <w:start w:val="1"/>
      <w:numFmt w:val="decimal"/>
      <w:lvlText w:val="%7"/>
      <w:lvlJc w:val="left"/>
      <w:pPr>
        <w:ind w:left="4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7C337C">
      <w:start w:val="1"/>
      <w:numFmt w:val="lowerLetter"/>
      <w:lvlText w:val="%8"/>
      <w:lvlJc w:val="left"/>
      <w:pPr>
        <w:ind w:left="4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C8CBA6">
      <w:start w:val="1"/>
      <w:numFmt w:val="lowerRoman"/>
      <w:lvlText w:val="%9"/>
      <w:lvlJc w:val="left"/>
      <w:pPr>
        <w:ind w:left="5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7E31AA5"/>
    <w:multiLevelType w:val="hybridMultilevel"/>
    <w:tmpl w:val="E1B8D76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48151D78"/>
    <w:multiLevelType w:val="hybridMultilevel"/>
    <w:tmpl w:val="929616B8"/>
    <w:lvl w:ilvl="0" w:tplc="4E3CA7A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0F915DF"/>
    <w:multiLevelType w:val="hybridMultilevel"/>
    <w:tmpl w:val="9A4A8E28"/>
    <w:lvl w:ilvl="0" w:tplc="1F48976A">
      <w:start w:val="1"/>
      <w:numFmt w:val="decimal"/>
      <w:lvlText w:val="%1)"/>
      <w:lvlJc w:val="left"/>
      <w:pPr>
        <w:ind w:left="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22AA8E">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2A1B9E">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8283E6">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44606A">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32BA3E">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180D26">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387DFE">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64A686">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B26189D"/>
    <w:multiLevelType w:val="hybridMultilevel"/>
    <w:tmpl w:val="F850CD7C"/>
    <w:lvl w:ilvl="0" w:tplc="8B1C427C">
      <w:start w:val="1"/>
      <w:numFmt w:val="lowerLetter"/>
      <w:lvlText w:val="%1)"/>
      <w:lvlJc w:val="left"/>
      <w:pPr>
        <w:ind w:left="1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A697B4">
      <w:start w:val="1"/>
      <w:numFmt w:val="lowerLetter"/>
      <w:lvlText w:val="%2"/>
      <w:lvlJc w:val="left"/>
      <w:pPr>
        <w:ind w:left="1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08D640">
      <w:start w:val="1"/>
      <w:numFmt w:val="lowerRoman"/>
      <w:lvlText w:val="%3"/>
      <w:lvlJc w:val="left"/>
      <w:pPr>
        <w:ind w:left="2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2CEEBA">
      <w:start w:val="1"/>
      <w:numFmt w:val="decimal"/>
      <w:lvlText w:val="%4"/>
      <w:lvlJc w:val="left"/>
      <w:pPr>
        <w:ind w:left="3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D217BA">
      <w:start w:val="1"/>
      <w:numFmt w:val="lowerLetter"/>
      <w:lvlText w:val="%5"/>
      <w:lvlJc w:val="left"/>
      <w:pPr>
        <w:ind w:left="4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A0F656">
      <w:start w:val="1"/>
      <w:numFmt w:val="lowerRoman"/>
      <w:lvlText w:val="%6"/>
      <w:lvlJc w:val="left"/>
      <w:pPr>
        <w:ind w:left="4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C6020C">
      <w:start w:val="1"/>
      <w:numFmt w:val="decimal"/>
      <w:lvlText w:val="%7"/>
      <w:lvlJc w:val="left"/>
      <w:pPr>
        <w:ind w:left="5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B667CA">
      <w:start w:val="1"/>
      <w:numFmt w:val="lowerLetter"/>
      <w:lvlText w:val="%8"/>
      <w:lvlJc w:val="left"/>
      <w:pPr>
        <w:ind w:left="6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40C570">
      <w:start w:val="1"/>
      <w:numFmt w:val="lowerRoman"/>
      <w:lvlText w:val="%9"/>
      <w:lvlJc w:val="left"/>
      <w:pPr>
        <w:ind w:left="6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1C61B49"/>
    <w:multiLevelType w:val="hybridMultilevel"/>
    <w:tmpl w:val="8A265EF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734573CB"/>
    <w:multiLevelType w:val="hybridMultilevel"/>
    <w:tmpl w:val="104C81A8"/>
    <w:lvl w:ilvl="0" w:tplc="98D814CE">
      <w:start w:val="1"/>
      <w:numFmt w:val="decimal"/>
      <w:lvlText w:val="%1."/>
      <w:lvlJc w:val="left"/>
      <w:pPr>
        <w:ind w:left="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64AF3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68801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007B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EEF6C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D477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4AB54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4C48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7A53C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29283810">
    <w:abstractNumId w:val="2"/>
  </w:num>
  <w:num w:numId="2" w16cid:durableId="1010721063">
    <w:abstractNumId w:val="4"/>
  </w:num>
  <w:num w:numId="3" w16cid:durableId="1472671454">
    <w:abstractNumId w:val="10"/>
  </w:num>
  <w:num w:numId="4" w16cid:durableId="128938189">
    <w:abstractNumId w:val="7"/>
  </w:num>
  <w:num w:numId="5" w16cid:durableId="934166039">
    <w:abstractNumId w:val="0"/>
  </w:num>
  <w:num w:numId="6" w16cid:durableId="1560749647">
    <w:abstractNumId w:val="8"/>
  </w:num>
  <w:num w:numId="7" w16cid:durableId="104885938">
    <w:abstractNumId w:val="3"/>
  </w:num>
  <w:num w:numId="8" w16cid:durableId="842163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0752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2377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534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9C"/>
    <w:rsid w:val="0003213A"/>
    <w:rsid w:val="00036772"/>
    <w:rsid w:val="00057BD8"/>
    <w:rsid w:val="0006068B"/>
    <w:rsid w:val="00065017"/>
    <w:rsid w:val="000678FB"/>
    <w:rsid w:val="0008259E"/>
    <w:rsid w:val="00090D6A"/>
    <w:rsid w:val="000A2702"/>
    <w:rsid w:val="000A4B29"/>
    <w:rsid w:val="000A7843"/>
    <w:rsid w:val="000B3B50"/>
    <w:rsid w:val="000F4880"/>
    <w:rsid w:val="00102AFC"/>
    <w:rsid w:val="0013095B"/>
    <w:rsid w:val="00164F1E"/>
    <w:rsid w:val="001757C7"/>
    <w:rsid w:val="001829ED"/>
    <w:rsid w:val="001A3C0B"/>
    <w:rsid w:val="001C294A"/>
    <w:rsid w:val="001E358D"/>
    <w:rsid w:val="001F6733"/>
    <w:rsid w:val="001F6D89"/>
    <w:rsid w:val="002058CC"/>
    <w:rsid w:val="00217D0B"/>
    <w:rsid w:val="00241232"/>
    <w:rsid w:val="00295763"/>
    <w:rsid w:val="002A7507"/>
    <w:rsid w:val="002B456A"/>
    <w:rsid w:val="002B51A4"/>
    <w:rsid w:val="002D293B"/>
    <w:rsid w:val="002F1A81"/>
    <w:rsid w:val="002F3F66"/>
    <w:rsid w:val="00300CFC"/>
    <w:rsid w:val="00333994"/>
    <w:rsid w:val="00362B38"/>
    <w:rsid w:val="00377BF6"/>
    <w:rsid w:val="00382499"/>
    <w:rsid w:val="00385F03"/>
    <w:rsid w:val="00390B4C"/>
    <w:rsid w:val="003A42C0"/>
    <w:rsid w:val="003D62AF"/>
    <w:rsid w:val="0040043D"/>
    <w:rsid w:val="00401428"/>
    <w:rsid w:val="004155E4"/>
    <w:rsid w:val="00415E1D"/>
    <w:rsid w:val="0043668F"/>
    <w:rsid w:val="0045372F"/>
    <w:rsid w:val="0047388E"/>
    <w:rsid w:val="004A009C"/>
    <w:rsid w:val="004C56DB"/>
    <w:rsid w:val="004C5AE9"/>
    <w:rsid w:val="004F6042"/>
    <w:rsid w:val="0052112A"/>
    <w:rsid w:val="00551B71"/>
    <w:rsid w:val="0059072D"/>
    <w:rsid w:val="005B6F0C"/>
    <w:rsid w:val="005C58C5"/>
    <w:rsid w:val="005D6810"/>
    <w:rsid w:val="005F019E"/>
    <w:rsid w:val="006002A9"/>
    <w:rsid w:val="00603519"/>
    <w:rsid w:val="00605E2B"/>
    <w:rsid w:val="00606841"/>
    <w:rsid w:val="00635228"/>
    <w:rsid w:val="0065193C"/>
    <w:rsid w:val="0067138B"/>
    <w:rsid w:val="00680D5E"/>
    <w:rsid w:val="006C41C5"/>
    <w:rsid w:val="006D1B0A"/>
    <w:rsid w:val="006E2E88"/>
    <w:rsid w:val="00712AA9"/>
    <w:rsid w:val="0072345A"/>
    <w:rsid w:val="0075499B"/>
    <w:rsid w:val="0075672E"/>
    <w:rsid w:val="00782A59"/>
    <w:rsid w:val="00792519"/>
    <w:rsid w:val="00793768"/>
    <w:rsid w:val="007C2A05"/>
    <w:rsid w:val="007E2199"/>
    <w:rsid w:val="00807202"/>
    <w:rsid w:val="00822535"/>
    <w:rsid w:val="00824D95"/>
    <w:rsid w:val="00847E58"/>
    <w:rsid w:val="008624CF"/>
    <w:rsid w:val="00893CBF"/>
    <w:rsid w:val="008C7857"/>
    <w:rsid w:val="008D5A20"/>
    <w:rsid w:val="008E412F"/>
    <w:rsid w:val="008F6A9F"/>
    <w:rsid w:val="00910B9C"/>
    <w:rsid w:val="00925139"/>
    <w:rsid w:val="00935709"/>
    <w:rsid w:val="00945546"/>
    <w:rsid w:val="00945A7E"/>
    <w:rsid w:val="00967CF1"/>
    <w:rsid w:val="00972633"/>
    <w:rsid w:val="009A5095"/>
    <w:rsid w:val="009C36A8"/>
    <w:rsid w:val="009E04FD"/>
    <w:rsid w:val="009E7EBA"/>
    <w:rsid w:val="00A35D06"/>
    <w:rsid w:val="00A43474"/>
    <w:rsid w:val="00A45CEF"/>
    <w:rsid w:val="00A64EF0"/>
    <w:rsid w:val="00A9336E"/>
    <w:rsid w:val="00AB3A37"/>
    <w:rsid w:val="00AB7580"/>
    <w:rsid w:val="00AE254F"/>
    <w:rsid w:val="00AF4F76"/>
    <w:rsid w:val="00B16410"/>
    <w:rsid w:val="00B1716F"/>
    <w:rsid w:val="00B21C3C"/>
    <w:rsid w:val="00B365B2"/>
    <w:rsid w:val="00B6361C"/>
    <w:rsid w:val="00B63D4C"/>
    <w:rsid w:val="00B659AA"/>
    <w:rsid w:val="00BB6AFC"/>
    <w:rsid w:val="00BE12A5"/>
    <w:rsid w:val="00BF55BD"/>
    <w:rsid w:val="00C0050E"/>
    <w:rsid w:val="00C02ABB"/>
    <w:rsid w:val="00C20706"/>
    <w:rsid w:val="00C238F9"/>
    <w:rsid w:val="00C52C1B"/>
    <w:rsid w:val="00C64FE0"/>
    <w:rsid w:val="00C66EC0"/>
    <w:rsid w:val="00C711B9"/>
    <w:rsid w:val="00C766CF"/>
    <w:rsid w:val="00CB4A61"/>
    <w:rsid w:val="00CD0BAE"/>
    <w:rsid w:val="00CE3D5F"/>
    <w:rsid w:val="00D10821"/>
    <w:rsid w:val="00D42E39"/>
    <w:rsid w:val="00D45DF0"/>
    <w:rsid w:val="00D46CB3"/>
    <w:rsid w:val="00D636AF"/>
    <w:rsid w:val="00D666BF"/>
    <w:rsid w:val="00D6682D"/>
    <w:rsid w:val="00D6718D"/>
    <w:rsid w:val="00D85171"/>
    <w:rsid w:val="00D85926"/>
    <w:rsid w:val="00D91B65"/>
    <w:rsid w:val="00DB604F"/>
    <w:rsid w:val="00DB755F"/>
    <w:rsid w:val="00DD1B22"/>
    <w:rsid w:val="00E12A64"/>
    <w:rsid w:val="00E433E8"/>
    <w:rsid w:val="00E47071"/>
    <w:rsid w:val="00E52861"/>
    <w:rsid w:val="00E65546"/>
    <w:rsid w:val="00EC4B04"/>
    <w:rsid w:val="00EC6EC6"/>
    <w:rsid w:val="00ED1A1F"/>
    <w:rsid w:val="00ED720B"/>
    <w:rsid w:val="00EF0F20"/>
    <w:rsid w:val="00F25621"/>
    <w:rsid w:val="00F274EE"/>
    <w:rsid w:val="00F36864"/>
    <w:rsid w:val="00F446DF"/>
    <w:rsid w:val="00F67EBC"/>
    <w:rsid w:val="00F864E5"/>
    <w:rsid w:val="00F90932"/>
    <w:rsid w:val="00F97114"/>
    <w:rsid w:val="00FA4FFF"/>
    <w:rsid w:val="00FA50B2"/>
    <w:rsid w:val="00FD68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6C38"/>
  <w15:docId w15:val="{02C4FE19-B7DF-4F98-BDEB-EB925E97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2A5"/>
    <w:rPr>
      <w:rFonts w:ascii="Calibri" w:eastAsia="Calibri" w:hAnsi="Calibri" w:cs="Calibri"/>
      <w:color w:val="000000"/>
    </w:rPr>
  </w:style>
  <w:style w:type="paragraph" w:styleId="Nagwek1">
    <w:name w:val="heading 1"/>
    <w:next w:val="Normalny"/>
    <w:link w:val="Nagwek1Znak"/>
    <w:uiPriority w:val="9"/>
    <w:qFormat/>
    <w:pPr>
      <w:keepNext/>
      <w:keepLines/>
      <w:spacing w:after="0"/>
      <w:jc w:val="center"/>
      <w:outlineLvl w:val="0"/>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0"/>
    </w:rPr>
  </w:style>
  <w:style w:type="paragraph" w:customStyle="1" w:styleId="footnotedescription">
    <w:name w:val="footnote description"/>
    <w:next w:val="Normalny"/>
    <w:link w:val="footnotedescriptionChar"/>
    <w:hidden/>
    <w:pPr>
      <w:spacing w:after="0"/>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0B3B50"/>
    <w:rPr>
      <w:color w:val="0563C1" w:themeColor="hyperlink"/>
      <w:u w:val="single"/>
    </w:rPr>
  </w:style>
  <w:style w:type="character" w:styleId="Nierozpoznanawzmianka">
    <w:name w:val="Unresolved Mention"/>
    <w:basedOn w:val="Domylnaczcionkaakapitu"/>
    <w:uiPriority w:val="99"/>
    <w:semiHidden/>
    <w:unhideWhenUsed/>
    <w:rsid w:val="000B3B50"/>
    <w:rPr>
      <w:color w:val="605E5C"/>
      <w:shd w:val="clear" w:color="auto" w:fill="E1DFDD"/>
    </w:rPr>
  </w:style>
  <w:style w:type="paragraph" w:styleId="Akapitzlist">
    <w:name w:val="List Paragraph"/>
    <w:basedOn w:val="Normalny"/>
    <w:uiPriority w:val="34"/>
    <w:qFormat/>
    <w:rsid w:val="00D85171"/>
    <w:pPr>
      <w:widowControl w:val="0"/>
      <w:autoSpaceDE w:val="0"/>
      <w:autoSpaceDN w:val="0"/>
      <w:adjustRightInd w:val="0"/>
      <w:spacing w:after="0" w:line="360" w:lineRule="auto"/>
      <w:ind w:left="720"/>
      <w:contextualSpacing/>
    </w:pPr>
    <w:rPr>
      <w:rFonts w:ascii="Times New Roman" w:eastAsia="Times New Roman" w:hAnsi="Times New Roman" w:cs="Arial"/>
      <w:color w:val="auto"/>
      <w:sz w:val="24"/>
      <w:szCs w:val="20"/>
    </w:rPr>
  </w:style>
  <w:style w:type="paragraph" w:styleId="Nagwek">
    <w:name w:val="header"/>
    <w:basedOn w:val="Normalny"/>
    <w:link w:val="NagwekZnak"/>
    <w:uiPriority w:val="99"/>
    <w:unhideWhenUsed/>
    <w:rsid w:val="00F909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0932"/>
    <w:rPr>
      <w:rFonts w:ascii="Calibri" w:eastAsia="Calibri" w:hAnsi="Calibri" w:cs="Calibri"/>
      <w:color w:val="000000"/>
    </w:rPr>
  </w:style>
  <w:style w:type="paragraph" w:styleId="Stopka">
    <w:name w:val="footer"/>
    <w:basedOn w:val="Normalny"/>
    <w:link w:val="StopkaZnak"/>
    <w:uiPriority w:val="99"/>
    <w:unhideWhenUsed/>
    <w:rsid w:val="00F909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0932"/>
    <w:rPr>
      <w:rFonts w:ascii="Calibri" w:eastAsia="Calibri" w:hAnsi="Calibri" w:cs="Calibri"/>
      <w:color w:val="000000"/>
    </w:rPr>
  </w:style>
  <w:style w:type="paragraph" w:customStyle="1" w:styleId="Akapitzlist1">
    <w:name w:val="Akapit z listą1"/>
    <w:basedOn w:val="Normalny"/>
    <w:rsid w:val="00E433E8"/>
    <w:pPr>
      <w:spacing w:after="0" w:line="240" w:lineRule="auto"/>
      <w:ind w:left="720"/>
      <w:contextualSpacing/>
    </w:pPr>
    <w:rPr>
      <w:rFonts w:ascii="Times New Roman" w:eastAsia="Times New Roman" w:hAnsi="Times New Roman" w:cs="Times New Roman"/>
      <w:color w:val="auto"/>
      <w:sz w:val="24"/>
      <w:szCs w:val="24"/>
    </w:rPr>
  </w:style>
  <w:style w:type="paragraph" w:customStyle="1" w:styleId="Default">
    <w:name w:val="Default"/>
    <w:rsid w:val="004F604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41439">
      <w:bodyDiv w:val="1"/>
      <w:marLeft w:val="0"/>
      <w:marRight w:val="0"/>
      <w:marTop w:val="0"/>
      <w:marBottom w:val="0"/>
      <w:divBdr>
        <w:top w:val="none" w:sz="0" w:space="0" w:color="auto"/>
        <w:left w:val="none" w:sz="0" w:space="0" w:color="auto"/>
        <w:bottom w:val="none" w:sz="0" w:space="0" w:color="auto"/>
        <w:right w:val="none" w:sz="0" w:space="0" w:color="auto"/>
      </w:divBdr>
    </w:div>
    <w:div w:id="265039726">
      <w:bodyDiv w:val="1"/>
      <w:marLeft w:val="0"/>
      <w:marRight w:val="0"/>
      <w:marTop w:val="0"/>
      <w:marBottom w:val="0"/>
      <w:divBdr>
        <w:top w:val="none" w:sz="0" w:space="0" w:color="auto"/>
        <w:left w:val="none" w:sz="0" w:space="0" w:color="auto"/>
        <w:bottom w:val="none" w:sz="0" w:space="0" w:color="auto"/>
        <w:right w:val="none" w:sz="0" w:space="0" w:color="auto"/>
      </w:divBdr>
    </w:div>
    <w:div w:id="293871221">
      <w:bodyDiv w:val="1"/>
      <w:marLeft w:val="0"/>
      <w:marRight w:val="0"/>
      <w:marTop w:val="0"/>
      <w:marBottom w:val="0"/>
      <w:divBdr>
        <w:top w:val="none" w:sz="0" w:space="0" w:color="auto"/>
        <w:left w:val="none" w:sz="0" w:space="0" w:color="auto"/>
        <w:bottom w:val="none" w:sz="0" w:space="0" w:color="auto"/>
        <w:right w:val="none" w:sz="0" w:space="0" w:color="auto"/>
      </w:divBdr>
    </w:div>
    <w:div w:id="391774698">
      <w:bodyDiv w:val="1"/>
      <w:marLeft w:val="0"/>
      <w:marRight w:val="0"/>
      <w:marTop w:val="0"/>
      <w:marBottom w:val="0"/>
      <w:divBdr>
        <w:top w:val="none" w:sz="0" w:space="0" w:color="auto"/>
        <w:left w:val="none" w:sz="0" w:space="0" w:color="auto"/>
        <w:bottom w:val="none" w:sz="0" w:space="0" w:color="auto"/>
        <w:right w:val="none" w:sz="0" w:space="0" w:color="auto"/>
      </w:divBdr>
    </w:div>
    <w:div w:id="456878859">
      <w:bodyDiv w:val="1"/>
      <w:marLeft w:val="0"/>
      <w:marRight w:val="0"/>
      <w:marTop w:val="0"/>
      <w:marBottom w:val="0"/>
      <w:divBdr>
        <w:top w:val="none" w:sz="0" w:space="0" w:color="auto"/>
        <w:left w:val="none" w:sz="0" w:space="0" w:color="auto"/>
        <w:bottom w:val="none" w:sz="0" w:space="0" w:color="auto"/>
        <w:right w:val="none" w:sz="0" w:space="0" w:color="auto"/>
      </w:divBdr>
    </w:div>
    <w:div w:id="467280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uro@grupav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zielonywawer.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F74AC-D5EC-4F41-82CE-1036CB90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4961</Words>
  <Characters>29771</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 Głogowski</dc:creator>
  <cp:keywords/>
  <cp:lastModifiedBy>Katarzyna Gdak</cp:lastModifiedBy>
  <cp:revision>2</cp:revision>
  <cp:lastPrinted>2023-11-22T12:57:00Z</cp:lastPrinted>
  <dcterms:created xsi:type="dcterms:W3CDTF">2025-09-29T12:01:00Z</dcterms:created>
  <dcterms:modified xsi:type="dcterms:W3CDTF">2025-09-29T12:01:00Z</dcterms:modified>
</cp:coreProperties>
</file>